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17 TrinkwV 2001 — Anforderungen an Anlagen für die Gewinnung, Aufbereitung oder Verteilung von Trinkwasser</w:t>
      </w:r>
    </w:p>
    <w:p>
      <w:r>
        <w:rPr>
          <w:color w:val="555555"/>
          <w:sz w:val="18"/>
        </w:rPr>
        <w:t xml:space="preserve">Trinkwasserverordnung</w:t>
      </w:r>
    </w:p>
    <w:p>
      <w:r>
        <w:rPr>
          <w:color w:val="555555"/>
          <w:sz w:val="18"/>
        </w:rPr>
        <w:t xml:space="preserve">Historische Fassung: Stand 10.01.2020 bis 25.06.2023. Dies ist nicht die aktuelle Fassung.</w:t>
      </w:r>
    </w:p>
    <w:p>
      <w:r>
        <w:t xml:space="preserve">(1) Anlagen für die Gewinnung, Aufbereitung oder Verteilung von Trinkwasser sind mindestens nach den allgemein anerkannten Regeln der Technik zu planen, zu bauen und zu betreiben.</w:t>
      </w:r>
    </w:p>
    <w:p>
      <w:r>
        <w:t xml:space="preserve">(2) Werkstoffe und Materialien, die für die Neuerrichtung oder Instandhaltung von Anlagen für die Gewinnung, Aufbereitung oder Verteilung von Trinkwasser verwendet werden und Kontakt mit Trinkwasser haben, dürfen nicht</w:t>
      </w:r>
    </w:p>
    <w:p>
      <w:pPr>
        <w:ind w:left="420"/>
      </w:pPr>
      <w:r>
        <w:t xml:space="preserve">1. den nach dieser Verordnung vorgesehenen Schutz der menschlichen Gesundheit unmittelbar oder mittelbar mindern,</w:t>
      </w:r>
    </w:p>
    <w:p>
      <w:pPr>
        <w:ind w:left="420"/>
      </w:pPr>
      <w:r>
        <w:t xml:space="preserve">2. den Geruch oder den Geschmack des Wassers nachteilig verändern oder</w:t>
      </w:r>
    </w:p>
    <w:p>
      <w:pPr>
        <w:ind w:left="420"/>
      </w:pPr>
      <w:r>
        <w:t xml:space="preserve">3. Stoffe in Mengen ins Trinkwasser abgeben, die größer sind als dies bei Einhaltung der allgemein anerkannten Regeln der Technik unvermeidbar ist.</w:t>
      </w:r>
    </w:p>
    <w:p>
      <w:r>
        <w:t xml:space="preserve">Der Unternehmer und der sonstige Inhaber von Anlagen für die Gewinnung, Aufbereitung oder Verteilung von Trinkwasser haben sicherzustellen, dass bei der Neuerrichtung oder Instandhaltung nur Werkstoffe und Materialien verwendet werden, die den in Satz 1 genannten Anforderungen entsprechen.</w:t>
      </w:r>
    </w:p>
    <w:p>
      <w:r>
        <w:t xml:space="preserve">(3) Das Umweltbundesamt legt zur Konkretisierung der Anforderungen nach Absatz 2 Satz 1 Bewertungsgrundlagen fest. Die Bewertungsgrundlagen können insbesondere enthalten:</w:t>
      </w:r>
    </w:p>
    <w:p>
      <w:pPr>
        <w:ind w:left="420"/>
      </w:pPr>
      <w:r>
        <w:t xml:space="preserve">1. Prüfvorschriften mit Prüfparametern, Prüfkriterien und methodischen Vorgaben zur Bewertung der hygienischen Eignung der Ausgangsstoffe nach Nummer 2, der Werkstoffe und Materialien nach Nummer 3 sowie von Werkstoffen und Materialien in daraus gefertigten Produkten,</w:t>
      </w:r>
    </w:p>
    <w:p>
      <w:pPr>
        <w:ind w:left="420"/>
      </w:pPr>
      <w:r>
        <w:t xml:space="preserve">2. Positivlisten der Ausgangsstoffe, die zur Herstellung von Werkstoffen und Materialien hygienisch geeignet sind, einschließlich Beschränkungen für den Einsatz der Ausgangsstoffe,</w:t>
      </w:r>
    </w:p>
    <w:p>
      <w:pPr>
        <w:ind w:left="420"/>
      </w:pPr>
      <w:r>
        <w:t xml:space="preserve">3. Positivlisten von Werkstoffen und Materialien, deren Prüfung ergeben hat, dass sie für den Kontakt mit Trinkwasser hygienisch geeignet sind, einschließlich Beschränkungen für den Einsatz dieser Werkstoffe und Materialien in bestimmten Produkten oder mit bestimmten Trinkwässern.</w:t>
      </w:r>
    </w:p>
    <w:p>
      <w:r>
        <w:t xml:space="preserve">Das Umweltbundesamt entscheidet, für welche Werkstoff- oder Materialgruppen es Bewertungsgrundlagen festlegt. Hat es Bewertungsgrundlagen für eine Werkstoff- oder Materialgruppe festgelegt, so gelten sie nach Ablauf von zwei Jahren nach ihrer Veröffentlichung verbindlich. Enthalten die Bewertungsgrundlagen Positivlisten nach Satz 2 Nummer 2 oder Nummer 3, dürfen für die Neuerrichtung oder die Instandhaltung von Anlagen nach Absatz 2 nur solche Ausgangsstoffe, Werkstoffe und Materialien verwendet werden, die auf den Positivlisten geführt sind.</w:t>
      </w:r>
    </w:p>
    <w:p>
      <w:r>
        <w:t xml:space="preserve">(4) Die Bewertungsgrundlagen nach Absatz 3 Satz 2 Nummer 1 legt das Umweltbundesamt von Amts wegen fest und schreibt sie fort. Die Bewertungsgrundlagen nach Absatz 3 Satz 2 Nummer 2 und 3 werden vom Umweltbundesamt auf Antrag festgelegt oder fortgeschrieben. Anträge müssen die erforderlichen Unterlagen zum Nachweis der Voraussetzungen nach Absatz 2 Satz 1 und nach Absatz 3 Satz 2 Nummer 1 enthalten. Auf die Voraussetzungen nach Absatz 2 Satz 1 und Absatz 3 bezogene Prüfungen und Beurteilungen, die in einem anderen Mitgliedstaat der Europäischen Union, einem anderen Vertragsstaat des Abkommens über den Europäischen Wirtschaftsraum oder in der Türkei durchgeführt worden sind, werden anerkannt. Liegt ein öffentliches Interesse vor, kann das Umweltbundesamt auch Bewertungsgrundlagen nach Absatz 3 Satz 2 Nummer 2 und 3 von Amts wegen festlegen oder fortschreiben. Vor der Festlegung und Fortschreibung hört das Umweltbundesamt die Länder, die Bundeswehr, das Eisenbahn-Bundesamt sowie die beteiligten Fachkreise und Verbände an. Das Bundesinstitut für Risikobewertung unterstützt das Umweltbundesamt bei der hygienischen Bewertung von Stoffen. Das Umweltbundesamt veröffentlicht die Bewertungsgrundlagen im Bundesanzeiger und im Internet. Einzelheiten zu dem Verfahren legt das Umweltbundesamt in einer Geschäftsordnung fest.</w:t>
      </w:r>
    </w:p>
    <w:p>
      <w:r>
        <w:t xml:space="preserve">(5) Es wird vermutet, dass Produkte und Verfahren die Anforderungen nach den Absätzen 1 bis 3 erfüllen, wenn dies von einem für den Trinkwasserbereich akkreditierten Zertifizierer durch ein Zertifikat bestätigt wurde.</w:t>
      </w:r>
    </w:p>
    <w:p>
      <w:r>
        <w:t xml:space="preserve">(6) Wasserversorgungsanlagen, aus denen Trinkwasser abgegeben wird, dürfen nicht ohne eine den allgemein anerkannten Regeln der Technik entsprechende Sicherungseinrichtung mit Wasser führenden Teilen, in denen sich Wasser befindet, das nicht für den menschlichen Gebrauch im Sinne des § 3 Nummer 1 bestimmt ist, verbunden werden. Der Unternehmer und der sonstige Inhaber einer Wasserversorgungsanlage nach § 3 Nummer 2 haben die Leitungen unterschiedlicher Versorgungssysteme beim Einbau dauerhaft farblich unterschiedlich zu kennzeichnen oder kennzeichnen zu lassen. Sie haben Entnahmestellen von Wasser, das nicht für den menschlichen Gebrauch nach § 3 Nummer 1 bestimmt ist, bei der Errichtung dauerhaft als solche zu kennzeichnen oder kennzeichnen zu lassen und erforderlichenfalls gegen nicht bestimmungsgemäßen Gebrauch zu sichern.</w:t>
      </w:r>
    </w:p>
    <w:p>
      <w:r>
        <w:t xml:space="preserve">(7) Bei der Gewinnung, Aufbereitung und Verteilung von Trinkwasser dürfen nur Stoffe oder Gegenstände im Kontakt mit dem Roh- oder Trinkwasser verwendet und nur physikalische oder chemische Verfahren angewendet werden, die bestimmungsgemäß der Trinkwasserversorgung dienen. Bereits eingebrachte Stoffe oder Gegenstände, die bestimmungsgemäß nicht der Trinkwasserversorgung dienen, müssen bis zum 9. Januar 2025 aus dem Roh- oder Trinkwasser entfernt werden. Satz 2 gilt entsprechend für bereits eingesetzte Verfahren, die bestimmungsgemäß nicht der Trinkwasserversorgung dienen.</w:t>
      </w:r>
    </w:p>
    <w:p>
      <w:r>
        <w:rPr>
          <w:color w:val="555555"/>
          <w:sz w:val="17"/>
        </w:rPr>
        <w:t xml:space="preserve">Zitiervorschlag: § 17 TrinkwV 2001</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https://recht.nulegal.eu/gesetze/TrinkwV%202001/17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17 TrinkwV 2001</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