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TrinkwV 2001 — Ausnahmegenehmigungen</w:t>
      </w:r>
    </w:p>
    <w:p>
      <w:r>
        <w:rPr>
          <w:color w:val="555555"/>
          <w:sz w:val="18"/>
        </w:rPr>
        <w:t xml:space="preserve">Trinkwasserverordnung</w:t>
      </w:r>
    </w:p>
    <w:p>
      <w:r>
        <w:rPr>
          <w:color w:val="555555"/>
          <w:sz w:val="18"/>
        </w:rPr>
        <w:t xml:space="preserve">Historische Fassung: Stand 10.06.2019 bis 25.06.2023. Dies ist nicht die aktuelle Fassung.</w:t>
      </w:r>
    </w:p>
    <w:p>
      <w:r>
        <w:t xml:space="preserve">(1) Ist für die Entscheidung nach § 11 Absatz 3 Satz 1 die Erprobung eines Aufbereitungsstoffes oder Desinfektionsverfahrens erforderlich, so kann das Umweltbundesamt auf Antrag befristete Ausnahmen von § 11 Absatz 1 Satz 1 und 5 sowie Absatz 2 genehmigen, wenn Tatsachen die Annahme rechtfertigen, dass durch die Erprobung keine Gefährdung der Gesundheit oder der Umwelt zu erwarten ist. Die Ausnahmegenehmigung ist auf das notwendige Maß zu beschränken und zu befristen. § 11 Absatz 1 Satz 6 gilt entsprechend.</w:t>
      </w:r>
    </w:p>
    <w:p>
      <w:r>
        <w:t xml:space="preserve">(2) Das Umweltbundesamt kann die Ausnahmegenehmigung widerrufen, wenn sich Anhaltspunkte dafür ergeben, dass der Aufbereitungsstoff oder das Desinfektionsverfahren den Anforderungen des § 11 Absatz 3 Satz 1 nicht genügt.</w:t>
      </w:r>
    </w:p>
    <w:p>
      <w:r>
        <w:rPr>
          <w:color w:val="555555"/>
          <w:sz w:val="17"/>
        </w:rPr>
        <w:t xml:space="preserve">Zitiervorschlag: § 12 TrinkwV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https://recht.nulegal.eu/gesetze/TrinkwV%202001/12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TrinkwV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