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TrinkwV 2001 — Zulassung der Abweichung von Grenzwerten für chemische Parameter</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Gelangt das Gesundheitsamt bei der Prüfung nach § 9 Absatz 1 Satz 1 zu dem Ergebnis, dass eine Abweichung vom Grenzwert eines Parameters nach Anlage 2 nicht zu einer Gefährdung der menschlichen Gesundheit führt und durch Maßnahmen gemäß § 9 Absatz 4 innerhalb von höchstens 30 Tagen behoben werden kann, legt es den Wert, der für diesen Parameter während dieses Zeitraums zulässig ist, sowie die Frist fest, die zur Behebung der Abweichung eingeräumt ist. Satz 1 gilt nicht, wenn der betreffende Grenzwert bereits während der zwölf Monate, die der Prüfung vorangegangen sind, über insgesamt mehr als 30 Tage nicht eingehalten worden ist.</w:t>
      </w:r>
    </w:p>
    <w:p>
      <w:r>
        <w:t xml:space="preserve">(2) Das Gesundheitsamt legt fest, in welcher Höhe und für welchen Zeitraum von dem betroffenen Grenzwert abgewichen werden kann, wenn es bei den Prüfungen nach § 9 Absatz 1 zu dem Ergebnis gelangt, dass</w:t>
      </w:r>
    </w:p>
    <w:p>
      <w:pPr>
        <w:ind w:left="420"/>
      </w:pPr>
      <w:r>
        <w:t xml:space="preserve">1. die Gründe für die Nichteinhaltung eines Grenzwertes für einen Parameter nach Anlage 2 nicht durch Maßnahmen innerhalb von 30 Tagen behoben werden können,</w:t>
      </w:r>
    </w:p>
    <w:p>
      <w:pPr>
        <w:ind w:left="420"/>
      </w:pPr>
      <w:r>
        <w:t xml:space="preserve">2. die Weiterführung der Wasserversorgung für eine bestimmte Zeit über diesen Zeitraum hinaus nicht zu einer Gefährdung der menschlichen Gesundheit führt und</w:t>
      </w:r>
    </w:p>
    <w:p>
      <w:pPr>
        <w:ind w:left="420"/>
      </w:pPr>
      <w:r>
        <w:t xml:space="preserve">3. die Wasserversorgung in dem betroffenen Teil des Wasserversorgungsgebietes nicht auf andere zumutbare Weise aufrechterhalten werden kann.</w:t>
      </w:r>
    </w:p>
    <w:p>
      <w:r>
        <w:t xml:space="preserve">Der Unternehmer oder der sonstige Inhaber der verursachenden Wasserversorgungsanlage wird umgehend über die Entscheidung informiert.</w:t>
      </w:r>
    </w:p>
    <w:p>
      <w:r>
        <w:t xml:space="preserve">(3) Die Zulassung der Abweichung nach Absatz 2 ist so kurz wie möglich zu befristen und darf drei Jahre nicht überschreiten. Bei Wasserversorgungsgebieten, in denen mehr als 1 000 Kubikmeter pro Tag geliefert oder mehr als 5 000 Personen versorgt werden, unterrichtet das Gesundheitsamt auf dem Dienstweg innerhalb von sechs Wochen das Bundesministerium für Gesundheit oder eine von diesem benannte Stelle über die Entscheidung.</w:t>
      </w:r>
    </w:p>
    <w:p>
      <w:r>
        <w:t xml:space="preserve">(4) Absatz 2 gilt nicht für Trinkwasser, das zur Abgabe in Behältnissen bestimmt ist, außer wenn dieses zeitlich begrenzt bis zur Wiederherstellung der regulären Wasserversorgung als Ersatz für eine leitungsgebundene Wasserversorgung an Verbraucher abgegeben wird.</w:t>
      </w:r>
    </w:p>
    <w:p>
      <w:r>
        <w:t xml:space="preserve">(5) Vor Ablauf des zugelassenen Abweichungszeitraums prüft das Gesundheitsamt, ob geeignete Maßnahmen getroffen wurden, durch die der Parameter sich wieder in einem zulässigen Wertebereich befindet. Ist dies nicht der Fall, kann das Gesundheitsamt nach Zustimmung der zuständigen obersten Landesbehörde oder einer von dieser benannten Stelle eine Abweichung nochmals für höchstens drei Jahre zulassen. Das Gesundheitsamt informiert innerhalb von sechs Wochen nach der erneuten Zulassung das Bundesministerium für Gesundheit oder eine von diesem benannte Stelle auf dem Dienstweg über die Gründe für diese Zulassung.</w:t>
      </w:r>
    </w:p>
    <w:p>
      <w:r>
        <w:t xml:space="preserve">(6) Unter außergewöhnlichen Umständen kann das Gesundheitsamt dem Bundesministerium für Gesundheit oder einer von diesem benannten Stelle auf dem Dienstweg mitteilen, dass es erforderlich ist, für ein Wasserversorgungsgebiet eine dritte Zulassung für eine Abweichung bei der Europäischen Kommission zu beantragen. Die Mitteilung ist spätestens fünf Monate vor Ablauf des Zeitraums der zweiten zugelassenen Abweichung zu machen. Die dritte Abweichung darf höchstens für einen Zeitraum von drei Jahren beantragt werden.</w:t>
      </w:r>
    </w:p>
    <w:p>
      <w:r>
        <w:t xml:space="preserve">(7) Die Zulassungen nach den Absätzen 2 und 5 sowie die Mitteilung nach Absatz 6 an das Bundesministerium für Gesundheit oder an eine von diesem benannte Stelle müssen mindestens Folgendes enthalten:</w:t>
      </w:r>
    </w:p>
    <w:p>
      <w:pPr>
        <w:ind w:left="420"/>
      </w:pPr>
      <w:r>
        <w:t xml:space="preserve">1. die Kennzeichnung und geografische Beschreibung des Wasserversorgungsgebietes, die gelieferte Trinkwassermenge pro Tag und die Anzahl der belieferten Personen;</w:t>
      </w:r>
    </w:p>
    <w:p>
      <w:pPr>
        <w:ind w:left="420"/>
      </w:pPr>
      <w:r>
        <w:t xml:space="preserve">2. den Grund für die Nichteinhaltung des betreffenden Grenzwertes;</w:t>
      </w:r>
    </w:p>
    <w:p>
      <w:pPr>
        <w:ind w:left="420"/>
      </w:pPr>
      <w:r>
        <w:t xml:space="preserve">3. die Überwachungsergebnisse aus den letzten drei Jahren (Minimal-, Median- und Maximalwerte);</w:t>
      </w:r>
    </w:p>
    <w:p>
      <w:pPr>
        <w:ind w:left="420"/>
      </w:pPr>
      <w:r>
        <w:t xml:space="preserve">4. die Anzahl der betroffenen Personen und die Angabe, ob relevante Lebensmittelbetriebe betroffen sind oder nicht;</w:t>
      </w:r>
    </w:p>
    <w:p>
      <w:pPr>
        <w:ind w:left="420"/>
      </w:pPr>
      <w:r>
        <w:t xml:space="preserve">5. ein geeignetes Überwachungsprogramm, erforderlichenfalls mit einer erhöhten Überwachungshäufigkeit;</w:t>
      </w:r>
    </w:p>
    <w:p>
      <w:pPr>
        <w:ind w:left="420"/>
      </w:pPr>
      <w:r>
        <w:t xml:space="preserve">6. eine Zusammenfassung der notwendigen Maßnahmen mit einem Zeitplan für die Arbeiten, einer Schätzung der Kosten und mit Bestimmungen zur Überprüfung;</w:t>
      </w:r>
    </w:p>
    <w:p>
      <w:pPr>
        <w:ind w:left="420"/>
      </w:pPr>
      <w:r>
        <w:t xml:space="preserve">7. die erforderliche Dauer der Abweichung und den für die Abweichung vorgesehenen höchstzulässigen Wert für den betreffenden Parameter.</w:t>
      </w:r>
    </w:p>
    <w:p>
      <w:r>
        <w:t xml:space="preserve">Die Mitteilungen erfolgen in dem von der Europäischen Kommission nach Artikel 13 Absatz 4 der Richtlinie 98/83/EG des Rates vom 3. November 1998 über die Qualität von Wasser für den menschlichen Gebrauch (ABl. L 330 vom 5.12.1998, S. 32) festgelegten Format und mit den dort genannten Mindestinformationen in der vom Bundesministerium für Gesundheit nach Beteiligung der Länder mitgeteilten Form. Darüber hinausgehende Formatvorgaben durch das Bundesministerium für Gesundheit, insbesondere für einheitliche EDV-Verfahren, bedürfen der Zustimmung des Bundesrates.</w:t>
      </w:r>
    </w:p>
    <w:p>
      <w:r>
        <w:t xml:space="preserve">(8) Das Gesundheitsamt hat durch entsprechende Anordnung bei der Zulassung von Abweichungen oder der Einschränkung der Verwendung von Trinkwasser sicherzustellen, dass die von der Abweichung oder Verwendungseinschränkung betroffene Bevölkerung sowie der Unternehmer oder der sonstige Inhaber einer betroffenen anderen Wasserversorgungsanlage von dem Unternehmer und dem sonstigen Inhaber der verursachenden Wasserversorgungsanlage oder von der zuständigen Behörde unverzüglich und angemessen über diese Maßnahmen und die damit verbundenen Bedingungen in Kenntnis gesetzt sowie gegebenenfalls auf Maßnahmen zum eigenen Schutz hingewiesen werden. Außerdem hat das Gesundheitsamt sicherzustellen, dass bestimmte Bevölkerungsgruppen, für die die Abweichung eine besondere Gefahr bedeuten könnte, informiert und gegebenenfalls auf Maßnahmen zum eigenen Schutz hingewiesen werden.</w:t>
      </w:r>
    </w:p>
    <w:p>
      <w:r>
        <w:t xml:space="preserve">(9) Die Absätze 1 bis 8 gelten nicht für Wasserversorgungsanlagen nach § 3 Nummer 2 Buchstabe c.</w:t>
      </w:r>
    </w:p>
    <w:p>
      <w:r>
        <w:rPr>
          <w:color w:val="555555"/>
          <w:sz w:val="17"/>
        </w:rPr>
        <w:t xml:space="preserve">Zitiervorschlag: § 10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TrinkwV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