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TrinkwGebV</w:t>
      </w:r>
    </w:p>
    <w:p>
      <w:r>
        <w:rPr>
          <w:color w:val="555555"/>
          <w:sz w:val="18"/>
        </w:rPr>
        <w:t xml:space="preserve">Trinkwasser-Gebührenverordnung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38 Absatz 3 des Infektionsschutzgesetzes, der zuletzt durch Artikel 2 Absatz 36 des Gesetzes vom 7. August 2013 (BGBl. I S. 3154) geändert worden ist, in Verbindung mit § 23 Absatz 2 des Bundesgebührengesetzes vom 7. August 2013 (BGBl. I S. 3154) verordnet das Bundesministerium für Umwelt, Naturschutz und Reaktorsicherheit:</w:t>
      </w:r>
    </w:p>
    <w:p>
      <w:r>
        <w:rPr>
          <w:color w:val="555555"/>
          <w:sz w:val="17"/>
        </w:rPr>
        <w:t xml:space="preserve">Zitiervorschlag: Eingangsformel TrinkwGebV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https://recht.nulegal.eu/gesetze/TrinkwGebV/eingangsformel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