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TrinkwGebV — Inkrafttreten, Außerkrafttreten</w:t>
      </w:r>
    </w:p>
    <w:p>
      <w:r>
        <w:rPr>
          <w:color w:val="555555"/>
          <w:sz w:val="18"/>
        </w:rPr>
        <w:t xml:space="preserve">Trinkwasser-Gebührenverordnung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 und am 1. Oktober 2021 außer Kraft.</w:t>
      </w:r>
    </w:p>
    <w:p>
      <w:r>
        <w:rPr>
          <w:color w:val="555555"/>
          <w:sz w:val="17"/>
        </w:rPr>
        <w:t xml:space="preserve">Zitiervorschlag: § 3 TrinkwGebV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