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TrinkwEGV</w:t>
      </w:r>
    </w:p>
    <w:p>
      <w:r>
        <w:rPr>
          <w:color w:val="555555"/>
          <w:sz w:val="18"/>
        </w:rPr>
        <w:t xml:space="preserve">Trinkwassereinzugsgebieteverordnung</w:t>
      </w:r>
    </w:p>
    <w:p>
      <w:r>
        <w:rPr>
          <w:color w:val="555555"/>
          <w:sz w:val="18"/>
        </w:rPr>
        <w:t xml:space="preserve">Stand: 12.12.2023 (konsolidierte Textfassung, kein amtliches Inkrafttretensdatum)</w:t>
      </w:r>
    </w:p>
    <w:p>
      <w:r>
        <w:t xml:space="preserve">Auf Grund des § 50 Absatz 4a des Wasserhaushaltsgesetzes, der durch Artikel 1 Nummer 2 Buchstabe c des Gesetzes vom 4. Januar 2023 (BGBl. 2023 I Nummer 5) eingefügt worden ist, verordnet das Bundesministerium für Umwelt, Naturschutz, nukleare Sicherheit und Verbraucherschutz:</w:t>
      </w:r>
    </w:p>
    <w:p>
      <w:r>
        <w:rPr>
          <w:color w:val="555555"/>
          <w:sz w:val="17"/>
        </w:rPr>
        <w:t xml:space="preserve">Zitiervorschlag: Eingangsformel TrinkwEGV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https://recht.nulegal.eu/gesetze/TrinkwEGV/eingangsformel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