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TrinkwEGV — Untersuchungen auf relevante Parameter</w:t>
      </w:r>
    </w:p>
    <w:p>
      <w:r>
        <w:rPr>
          <w:color w:val="555555"/>
          <w:sz w:val="18"/>
        </w:rPr>
        <w:t xml:space="preserve">Trinkwassereinzugsgebieteverordnung</w:t>
      </w:r>
    </w:p>
    <w:p>
      <w:r>
        <w:rPr>
          <w:color w:val="555555"/>
          <w:sz w:val="18"/>
        </w:rPr>
        <w:t xml:space="preserve">Stand: 12.12.2023 (konsolidierte Textfassung, kein amtliches Inkrafttretensdatum)</w:t>
      </w:r>
    </w:p>
    <w:p>
      <w:r>
        <w:t xml:space="preserve">(1) Der Betreiber hat nach Maßgabe der Absätze 2 bis 4 und der §§ 9 und 16 im Trinkwassereinzugsgebiet Untersuchungen des Grundwassers, des Oberflächenwassers oder von beidem oder des Rohwassers auf lokal relevante Parameter durchzuführen oder durchführen zu lassen.</w:t>
      </w:r>
    </w:p>
    <w:p>
      <w:r>
        <w:t xml:space="preserve">(2) Der Betreiber legt im Untersuchungsprogramm nach § 9 Absatz 1 die zu untersuchenden Parameter fest. Er hat hierzu diejenigen Parameter auszuwählen, bei deren Vorkommen eine Schädigung der menschlichen Gesundheit zu besorgen ist und die als überwachungsrelevant angesehen werden aufgrund</w:t>
      </w:r>
    </w:p>
    <w:p>
      <w:pPr>
        <w:ind w:left="420"/>
      </w:pPr>
      <w:r>
        <w:t xml:space="preserve">1. der nach § 7 Absatz 1 Satz 1 Nummer 1 identifizierten Gefährdungen oder Gefährdungsereignisse oder</w:t>
      </w:r>
    </w:p>
    <w:p>
      <w:pPr>
        <w:ind w:left="420"/>
      </w:pPr>
      <w:r>
        <w:t xml:space="preserve">2. vorliegender Daten zu gemessenen Konzentrationen oder zu erkennbar gewordenen Trends.</w:t>
      </w:r>
    </w:p>
    <w:p>
      <w:r>
        <w:t xml:space="preserve">(3) Die zu untersuchenden Parameter sind nach Maßgabe von Absatz 2 Satz 2 auszuwählen aus:</w:t>
      </w:r>
    </w:p>
    <w:p>
      <w:pPr>
        <w:ind w:left="420"/>
      </w:pPr>
      <w:r>
        <w:t xml:space="preserve">1. den chemischen Parametern nach Anlage 2 der Trinkwasserverordnung nach Maßgabe der dort den jeweiligen Parametern zugeordneten Bemerkungen, soweit die Bemerkungen sich nicht auf Grenzwerte beziehen,</w:t>
      </w:r>
    </w:p>
    <w:p>
      <w:pPr>
        <w:ind w:left="420"/>
      </w:pPr>
      <w:r>
        <w:t xml:space="preserve">2. anderen Parametern, einschließlich natürlich vorkommender Stoffe, die nach den Ergebnissen der Gefährdungsanalyse und der Risikoabschätzung nach § 7 eine Verschlechterung der Wasserbeschaffenheit in einem Ausmaß bewirken können, dass eine Schädigung der menschlichen Gesundheit zu besorgen ist,</w:t>
      </w:r>
    </w:p>
    <w:p>
      <w:pPr>
        <w:ind w:left="420"/>
      </w:pPr>
      <w:r>
        <w:t xml:space="preserve">3. Stoffen und Verbindungen, die in der jeweils geltenden Fassung der Beobachtungsliste nach Artikel 13 Absatz 8 der Richtlinie (EU) 2020/2184 des Europäischen Parlaments und des Rates vom 16. Dezember 2020 über die Qualität von Wasser für den menschlichen Gebrauch (Neufassung) (ABl. L 435 vom 23.12.2020, S.1) aufgeführt sind,</w:t>
      </w:r>
    </w:p>
    <w:p>
      <w:pPr>
        <w:ind w:left="420"/>
      </w:pPr>
      <w:r>
        <w:t xml:space="preserve">4. den mikrobiologischen Parametern nach Anlage 1 der Trinkwasserverordnung, den allgemeinen mikrobiologischen Parametern nach Anlage 3 Teil I der Trinkwasserverordnung sowie dem Parameter somatische Coliphagen,</w:t>
      </w:r>
    </w:p>
    <w:p>
      <w:pPr>
        <w:ind w:left="420"/>
      </w:pPr>
      <w:r>
        <w:t xml:space="preserve">5. nicht relevanten Metaboliten von Pestiziden, die in der vom Umweltbundesamt veröffentlichten Empfehlung nach § 18 Satz 1 aufgeführt sind,</w:t>
      </w:r>
    </w:p>
    <w:p>
      <w:pPr>
        <w:ind w:left="420"/>
      </w:pPr>
      <w:r>
        <w:t xml:space="preserve">6. weiteren Parametern, deren Toxizität sich durch das Wasseraufbereitungsverfahren in einem Ausmaß erhöhen kann, dass eine Schädigung der menschlichen Gesundheit zu besorgen ist.</w:t>
      </w:r>
    </w:p>
    <w:p>
      <w:r>
        <w:t xml:space="preserve">Abweichend von Absatz 1 sind mikrobiologische Parameter nach Satz 1 Nummer 4 nur für die Matrix Rohwasser auszuwählen. Die in Satz 1 Nummer 4 genannten Parameter sind nicht zu untersuchen, soweit sie bereits nach den Vorschriften der Trinkwasserverordnung im Rohwasser untersucht werden.</w:t>
      </w:r>
    </w:p>
    <w:p>
      <w:r>
        <w:t xml:space="preserve">(4) Darüber hinaus sind nach Maßgabe von Absatz 2 Satz 2 folgende Parameter auszuwählen, wenn sie lokal relevant sind:</w:t>
      </w:r>
    </w:p>
    <w:p>
      <w:pPr>
        <w:ind w:left="420"/>
      </w:pPr>
      <w:r>
        <w:t xml:space="preserve">1. für die Matrix Grundwasser Stoffe und Stoffgruppen aus Anlage 2 der Grundwasserverordnung</w:t>
      </w:r>
    </w:p>
    <w:p>
      <w:pPr>
        <w:ind w:left="420"/>
      </w:pPr>
      <w:r>
        <w:t xml:space="preserve">2. für die Matrix Oberflächenwasser</w:t>
      </w:r>
    </w:p>
    <w:p>
      <w:pPr>
        <w:ind w:left="780"/>
      </w:pPr>
      <w:r>
        <w:t xml:space="preserve">a) prioritäre Stoffe und bestimmte andere Schadstoffe aus Anlage 8 Tabelle 1 Spalte 8 und 9 der Oberflächengewässerverordnung und</w:t>
      </w:r>
    </w:p>
    <w:p>
      <w:pPr>
        <w:ind w:left="780"/>
      </w:pPr>
      <w:r>
        <w:t xml:space="preserve">b) flussgebietsspezifische Schadstoffe aus Anlage 6 der Oberflächengewässerverordnung.</w:t>
      </w:r>
    </w:p>
    <w:p>
      <w:r>
        <w:rPr>
          <w:color w:val="555555"/>
          <w:sz w:val="17"/>
        </w:rPr>
        <w:t xml:space="preserve">Zitiervorschlag: § 8 TrinkwEGV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https://recht.nulegal.eu/gesetze/TrinkwEGV/8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