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TrinkwEGV — Gefährdungsanalyse und Risikoabschätzung</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(1) Zur Bewertung von Risiken für das Oberflächenwasser, das Grundwasser oder für beides oder für das Rohwasser hat der Betreiber für das Trinkwassereinzugsgebiet unter Berücksichtigung lokaler Gegebenheiten Folgendes durchzuführen:</w:t>
      </w:r>
    </w:p>
    <w:p>
      <w:pPr>
        <w:ind w:left="420"/>
      </w:pPr>
      <w:r>
        <w:t xml:space="preserve">1. eine Gefährdungsanalyse zur Identifizierung von Gefährdungen und Gefährdungsereignissen und</w:t>
      </w:r>
    </w:p>
    <w:p>
      <w:pPr>
        <w:ind w:left="420"/>
      </w:pPr>
      <w:r>
        <w:t xml:space="preserve">2. eine Risikoabschätzung durch</w:t>
      </w:r>
    </w:p>
    <w:p>
      <w:pPr>
        <w:ind w:left="780"/>
      </w:pPr>
      <w:r>
        <w:t xml:space="preserve">a) Abschätzung der Eintrittswahrscheinlichkeit und des Schadensausmaßes von Gefährdungen und Gefährdungsereignissen (Risikoanalyse) und</w:t>
      </w:r>
    </w:p>
    <w:p>
      <w:pPr>
        <w:ind w:left="780"/>
      </w:pPr>
      <w:r>
        <w:t xml:space="preserve">b) Vergleich und Priorisierung der Risiken (Risikobewertung).</w:t>
      </w:r>
    </w:p>
    <w:p>
      <w:r>
        <w:t xml:space="preserve">Der Betreiber kann in die Gefährdungsanalyse und in die Risikoabschätzung auch Gefährdungen und Gefährdungsereignisse außerhalb des Trinkwassereinzugsgebiets einbeziehen. In Fällen, in denen der durchschnittliche Anteil von Uferfiltrat über dem Schwellenwert des § 6 Absatz 6 Satz 1 Nummer 2, aber unter 10 Prozent der gesamten Trinkwassergewinnung liegt und die Rohwasserqualität dadurch nicht signifikant beeinflusst wird, kann der Betreiber von der Gefährdungsanalyse und Risikoabschätzung nach Satz 1 für das durch Oberflächenwasser beeinflusste Uferfiltrat absehen. Bei der Gefährdungsanalyse nach Satz 1 Nummer 1 können auch Informationen über relevante Nutzungen und Belastungen nach § 4 Absatz 1 und 2 der Oberflächengewässerverordnung und nach den §§ 2 und 3 der Grundwasserverordnung sowie damit verbundene Gefährdungsereignisse und Gefährdungen im Trinkwassereinzugsgebiet herangezogen werden. Bei der Risikoabschätzung nach Satz 1 Nummer 2 sind solche Risiken zu identifizieren und zu bewerten, die eine Verschlechterung der Wasserbeschaffenheit in einem Ausmaß bewirken können, dass eine Schädigung der menschlichen Gesundheit durch Gebrauch des Wassers als Trinkwasser (Schädigung der menschlichen Gesundheit) zu besorgen ist.</w:t>
      </w:r>
    </w:p>
    <w:p>
      <w:r>
        <w:t xml:space="preserve">(2) Wenn dem Betreiber Informationen zur Identifizierung von Gefährdungen und Gefährdungsereignissen nach Absatz 1 Satz 1 Nummer 1 nicht vorliegen und nicht zugänglich sind, so hat ihm die zuständige Behörde auf sein Ersuchen die Informationen zu übermitteln oder anderweitig zugänglich zu machen, soweit sie dies im Hinblick auf eine ordnungsgemäße Durchführung der Gefährdungsanalyse und der Risikoabschätzung für erforderlich hält. Die für die Sachbereiche nach Anlage 1 zuständigen Behörden übermitteln der zuständigen Behörde und dem Betreiber auf Anforderung der zuständigen Behörde Informationen zur Identifizierung von Gefährdungen und Gefährdungsereignissen nach Absatz 1 Satz 1 Nummer 1. Die Informationen nach den Sätzen 1 und 2 sind dem Betreiber in einem digital verarbeitbaren Format zu übermitteln oder anderweitig zugänglich zu machen. Sofern die zuständige Behörde oder die für einen Sachbereich nach Anlage 1 zuständige Behörde dem Betreiber angeforderte Informationen zur Identifizierung von Gefährdungen und Gefährdungsereignissen nach den Sätzen 1 bis 3 nicht übermittelt oder anderweitig zugänglich macht, sind diese in diesem Fall für die Gefährdungsanalyse und die Risikoabschätzung nicht erforderlich.</w:t>
      </w:r>
    </w:p>
    <w:p>
      <w:r>
        <w:rPr>
          <w:color w:val="555555"/>
          <w:sz w:val="17"/>
        </w:rPr>
        <w:t xml:space="preserve">Zitiervorschlag: § 7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