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TrinkwEGV — Länderübergreifende Trinkwassereinzugsgebiete</w:t>
      </w:r>
    </w:p>
    <w:p>
      <w:r>
        <w:rPr>
          <w:color w:val="555555"/>
          <w:sz w:val="18"/>
        </w:rPr>
        <w:t xml:space="preserve">Trinkwassereinzugsgebieteverordnung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(1) Erstreckt sich ein Trinkwassereinzugsgebiet auf das Gebiet mehrerer Länder, koordinieren die zuständigen Behörden der betroffenen Länder untereinander ihre Maßnahmen und Festlegungen nach den Abschnitten 2 und 3.</w:t>
      </w:r>
    </w:p>
    <w:p>
      <w:r>
        <w:t xml:space="preserve">(2) Die betroffenen Länder können vereinbaren, dass die zuständige Behörde eines betroffenen Landes alle oder bestimmte Maßnahmen und Festlegungen nach den Abschnitten 2 und 3 für alle betroffenen Länder trifft.</w:t>
      </w:r>
    </w:p>
    <w:p>
      <w:r>
        <w:rPr>
          <w:color w:val="555555"/>
          <w:sz w:val="17"/>
        </w:rPr>
        <w:t xml:space="preserve">Zitiervorschlag: § 4 TrinkwEGV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https://recht.nulegal.eu/gesetze/TrinkwEGV/4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