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TrinkwEGV — Risikobasierter Ansatz für Trinkwassereinzugsgebiete; Ausnahmen</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(1) Zur Sicherstellung der Qualität des Oberflächenwassers, des Grundwassers und des Rohwassers gilt für Trinkwassereinzugsgebiete ein risikobasierter Ansatz. Im Rahmen dieses Ansatzes hat der Betreiber einer Wassergewinnungsanlage (Betreiber) nach Maßgabe von Absatz 2 und Abschnitt 2 das Trinkwassereinzugsgebiet zu bewerten. Auf der Grundlage der Bewertung nach Satz 2 legt die zuständige Behörde, soweit erforderlich, nach Maßgabe von Absatz 2 und Abschnitt 3 Risikomanagementmaßnahmen fest.</w:t>
      </w:r>
    </w:p>
    <w:p>
      <w:r>
        <w:t xml:space="preserve">(2) Die Bewertung nach Absatz 1 Satz 2 und das Risikomanagement nach Absatz 1 Satz 3 sind nach den allgemein anerkannten Regeln der Technik durchzuführen.</w:t>
      </w:r>
    </w:p>
    <w:p>
      <w:r>
        <w:t xml:space="preserve">(3) Die Vorschriften dieser Verordnung gelten nicht, wenn mit der Wassergewinnungsanlage im Durchschnitt weniger als zehn Kubikmeter Wasser pro Tag entnommen oder weniger als 50 Personen versorgt werden und das Wasser nicht im Rahmen einer gewerblichen oder einer öffentlichen Tätigkeit bereitgestellt wird. Wenn der Betreiber einer oder mehrerer Wassergewinnungsanlagen im Rahmen einer gewerblichen oder einer öffentlichen Tätigkeit im Durchschnitt insgesamt weniger als zehn Kubikmeter Wasser pro Tag bereitstellt oder weniger als 50 Personen versorgt, gelten von dieser Verordnung nur die Vorschriften über Stoffe und Verbindungen auf der Beobachtungsliste nach § 8 Absatz 3 Satz 1 Nummer 3 in Verbindung mit § 9 Absatz 1 und nach § 17, sofern das Vorkommen dieser Stoffe und Verbindungen im betreffenden Trinkwassereinzugsgebiet wahrscheinlich ist; § 16 Absatz 1 gilt mit der Maßgabe, dass es keiner Dokumentation nach § 12 bedarf.</w:t>
      </w:r>
    </w:p>
    <w:p>
      <w:r>
        <w:rPr>
          <w:color w:val="555555"/>
          <w:sz w:val="17"/>
        </w:rPr>
        <w:t xml:space="preserve">Zitiervorschlag: § 3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