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TrinkwEGV — Inkrafttreten</w:t>
      </w:r>
    </w:p>
    <w:p>
      <w:r>
        <w:rPr>
          <w:color w:val="555555"/>
          <w:sz w:val="18"/>
        </w:rPr>
        <w:t xml:space="preserve">Trinkwassereinzugsgebieteverordnung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21 TrinkwEGV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https://recht.nulegal.eu/gesetze/TrinkwEGV/21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