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TrinkwEGV — Ordnungswidrigkeiten</w:t>
      </w:r>
    </w:p>
    <w:p>
      <w:r>
        <w:rPr>
          <w:color w:val="555555"/>
          <w:sz w:val="18"/>
        </w:rPr>
        <w:t xml:space="preserve">Trinkwassereinzugsgebieteverordnung</w:t>
      </w:r>
    </w:p>
    <w:p>
      <w:r>
        <w:rPr>
          <w:color w:val="555555"/>
          <w:sz w:val="18"/>
        </w:rPr>
        <w:t xml:space="preserve">Stand: 12.12.2023 (konsolidierte Textfassung, kein amtliches Inkrafttretensdatum)</w:t>
      </w:r>
    </w:p>
    <w:p>
      <w:r>
        <w:t xml:space="preserve">Ordnungswidrig im Sinne des § 103 Absatz 1 Nummer 3 Buchstabe b des Wasserhaushaltsgesetzes handelt, wer vorsätzlich oder fahrlässig</w:t>
      </w:r>
    </w:p>
    <w:p>
      <w:pPr>
        <w:ind w:left="420"/>
      </w:pPr>
      <w:r>
        <w:t xml:space="preserve">1. entgegen § 10 Absatz 1 Satz 1 eine zuständige Behörde nicht oder nicht rechtzeitig unterrichtet,</w:t>
      </w:r>
    </w:p>
    <w:p>
      <w:pPr>
        <w:ind w:left="420"/>
      </w:pPr>
      <w:r>
        <w:t xml:space="preserve">2. einer vollziehbaren Anordnung nach § 10 Absatz 2 Satz 1 Nummer 1, § 12 Absatz 4 Satz 2 oder § 16 Absatz 4 Satz 1 zuwiderhandelt oder</w:t>
      </w:r>
    </w:p>
    <w:p>
      <w:pPr>
        <w:ind w:left="420"/>
      </w:pPr>
      <w:r>
        <w:t xml:space="preserve">3. entgegen § 12 Absatz 1 Satz 1 oder Absatz 2 Satz 1 eine Dokumentation oder die Aktualisierung einer Dokumentation nicht, nicht richtig oder nicht rechtzeitig übermittelt.</w:t>
      </w:r>
    </w:p>
    <w:p>
      <w:r>
        <w:rPr>
          <w:color w:val="555555"/>
          <w:sz w:val="17"/>
        </w:rPr>
        <w:t xml:space="preserve">Zitiervorschlag: § 20 TrinkwEGV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https://recht.nulegal.eu/gesetze/TrinkwEGV/20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