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TrinkwEGV — Begriffsbestimmungen</w:t>
      </w:r>
    </w:p>
    <w:p>
      <w:r>
        <w:rPr>
          <w:color w:val="555555"/>
          <w:sz w:val="18"/>
        </w:rPr>
        <w:t xml:space="preserve">Trinkwassereinzugsgebieteverordnung</w:t>
      </w:r>
    </w:p>
    <w:p>
      <w:r>
        <w:rPr>
          <w:color w:val="555555"/>
          <w:sz w:val="18"/>
        </w:rPr>
        <w:t xml:space="preserve">Stand: 12.12.2023 (konsolidierte Textfassung, kein amtliches Inkrafttretensdatum)</w:t>
      </w:r>
    </w:p>
    <w:p>
      <w:r>
        <w:t xml:space="preserve">Für diese Verordnung gelten die folgenden Begriffsbestimmungen:</w:t>
      </w:r>
    </w:p>
    <w:p>
      <w:pPr>
        <w:ind w:left="420"/>
      </w:pPr>
      <w:r>
        <w:t xml:space="preserve">1. Trinkwassereinzugsgebiet: ein Gebiet, aus dem Grundwasser oder Oberflächenwasser zu der Entnahmestelle oder den Entnahmestellen für die Trinkwassergewinnung gelangt;</w:t>
      </w:r>
    </w:p>
    <w:p>
      <w:pPr>
        <w:ind w:left="420"/>
      </w:pPr>
      <w:r>
        <w:t xml:space="preserve">2. Gefährdung: Stoffe im Wasser mit biologischen, chemischen, physikalischen oder radiologischen Eigenschaften oder eine anderweitige Beschaffenheit des Wassers, die im Hinblick auf seinen Gebrauch als Trinkwasser die menschliche Gesundheit beeinträchtigen können;</w:t>
      </w:r>
    </w:p>
    <w:p>
      <w:pPr>
        <w:ind w:left="420"/>
      </w:pPr>
      <w:r>
        <w:t xml:space="preserve">3. Gefährdungsereignis: ein Ereignis, das Gefährdungen von Wasser für die Trinkwassergewinnung herbeiführt.</w:t>
      </w:r>
    </w:p>
    <w:p>
      <w:r>
        <w:rPr>
          <w:color w:val="555555"/>
          <w:sz w:val="17"/>
        </w:rPr>
        <w:t xml:space="preserve">Zitiervorschlag: § 2 TrinkwEGV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https://recht.nulegal.eu/gesetze/TrinkwEGV/2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