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TrinkwEGV — Nicht relevante Pestizid-Metaboliten</w:t>
      </w:r>
    </w:p>
    <w:p>
      <w:r>
        <w:rPr>
          <w:color w:val="555555"/>
          <w:sz w:val="18"/>
        </w:rPr>
        <w:t xml:space="preserve">Trinkwassereinzugsgebieteverordnung</w:t>
      </w:r>
    </w:p>
    <w:p>
      <w:r>
        <w:rPr>
          <w:color w:val="555555"/>
          <w:sz w:val="18"/>
        </w:rPr>
        <w:t xml:space="preserve">Stand: 12.12.2023 (konsolidierte Textfassung, kein amtliches Inkrafttretensdatum)</w:t>
      </w:r>
    </w:p>
    <w:p>
      <w:r>
        <w:t xml:space="preserve">Das Umweltbundesamt veröffentlicht für die Matrix Rohwasser eine Empfehlung mit kategorisierten Richtwerten für Pestizid-Metaboliten, die nicht nach Anlage 2 Teil I der Trinkwasserverordnung als relevant eingestuft sind, im Bundesgesundheitsblatt und im Internet. Für diese Empfehlung legt das Umweltbundesamt die Kategorisierung der Richtwerte nach Anlage 2 dieser Verordnung zugrunde. Das Umweltbundesamt überprüft die Empfehlung nach Satz 1 regelmäßig und passt sie gegebenenfalls an. Bei Überschreitung der Richtwerte-nrM gemäß Anlage 2 gelten die Bestimmungen nach § 15.</w:t>
      </w:r>
    </w:p>
    <w:p>
      <w:r>
        <w:rPr>
          <w:color w:val="555555"/>
          <w:sz w:val="17"/>
        </w:rPr>
        <w:t xml:space="preserve">Zitiervorschlag: § 18 TrinkwEGV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https://recht.nulegal.eu/gesetze/TrinkwEGV/18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