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TrinkwEGV — Unterrichtungspflicht der Behörde; Daten zur Georeferenzierung</w:t>
      </w:r>
    </w:p>
    <w:p>
      <w:r>
        <w:rPr>
          <w:color w:val="555555"/>
          <w:sz w:val="18"/>
        </w:rPr>
        <w:t xml:space="preserve">Trinkwassereinzugsgebieteverordnung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(1) Die zuständige Behörde unterrichtet den Betreiber unverzüglich über ihr bekannte Gefährdungen, Gefährdungsereignisse und Schadensfälle, die sich auf die Beschaffenheit des Rohwassers, des Grundwassers oder des Oberflächenwassers im Trinkwassereinzugsgebiet auswirken können.</w:t>
      </w:r>
    </w:p>
    <w:p>
      <w:r>
        <w:t xml:space="preserve">(2) Die zuständige Behörde darf Daten der Georeferenzierung von Entnahmestellen nach § 6 Absatz 1 Satz 2 Nummer 3 nur an andere Behörden und an den jeweiligen Betreiber, soweit dies zur Erfüllung ihrer jeweiligen Aufgaben erforderlich ist, herausgeben.</w:t>
      </w:r>
    </w:p>
    <w:p>
      <w:r>
        <w:rPr>
          <w:color w:val="555555"/>
          <w:sz w:val="17"/>
        </w:rPr>
        <w:t xml:space="preserve">Zitiervorschlag: § 14 TrinkwEGV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https://recht.nulegal.eu/gesetze/TrinkwEGV/14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