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TrinkwEGV — Fachkenntnisse</w:t>
      </w:r>
    </w:p>
    <w:p>
      <w:r>
        <w:rPr>
          <w:color w:val="555555"/>
          <w:sz w:val="18"/>
        </w:rPr>
        <w:t xml:space="preserve">Trinkwassereinzugsgebieteverordnung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Die Bestimmung und Beschreibung des Trinkwassereinzugsgebiets nach § 6, die Gefährdungsanalyse und die Risikoabschätzung nach § 7, die Festlegung des Untersuchungsprogramms nach § 9 sowie die Erstellung der Dokumentation nach § 12 Absatz 1 dürfen nur von Personen durchgeführt werden, die durch eine erfolgreich abgeschlossene Hochschulausbildung oder durch einschlägige Berufserfahrung, jeweils auch in Verbindung mit Schulung, verfügen über</w:t>
      </w:r>
    </w:p>
    <w:p>
      <w:pPr>
        <w:ind w:left="420"/>
      </w:pPr>
      <w:r>
        <w:t xml:space="preserve">1. hinreichende hydrologische, hydrochemische und hydrogeologische Fachkenntnisse und</w:t>
      </w:r>
    </w:p>
    <w:p>
      <w:pPr>
        <w:ind w:left="420"/>
      </w:pPr>
      <w:r>
        <w:t xml:space="preserve">2. hinreichende Fachkenntnisse im Bereich des Risikomanagements und der Bewertung von Trinkwassereinzugsgebieten.</w:t>
      </w:r>
    </w:p>
    <w:p>
      <w:r>
        <w:rPr>
          <w:color w:val="555555"/>
          <w:sz w:val="17"/>
        </w:rPr>
        <w:t xml:space="preserve">Zitiervorschlag: § 13 TrinkwEGV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https://recht.nulegal.eu/gesetze/TrinkwEGV/13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