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TrinkwEGV — Akkreditierte Untersuchungsstellen</w:t>
      </w:r>
    </w:p>
    <w:p>
      <w:r>
        <w:rPr>
          <w:color w:val="555555"/>
          <w:sz w:val="18"/>
        </w:rPr>
        <w:t xml:space="preserve">Trinkwassereinzugsgebieteverordnung</w:t>
      </w:r>
    </w:p>
    <w:p>
      <w:r>
        <w:rPr>
          <w:color w:val="555555"/>
          <w:sz w:val="18"/>
        </w:rPr>
        <w:t xml:space="preserve">Stand: 12.12.2023 (konsolidierte Textfassung, kein amtliches Inkrafttretensdatum)</w:t>
      </w:r>
    </w:p>
    <w:p>
      <w:r>
        <w:t xml:space="preserve">Untersuchungen des Grundwassers, des Oberflächenwassers sowie des Rohwassers nach den §§ 8 und 9, auch in Verbindung mit § 16, dürfen nur von Untersuchungsstellen durchgeführt werden, die als Prüflaboratorien von einer nationalen Akkreditierungsstelle im Sinne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in der jeweils geltenden Fassung für die Durchführung der erforderlichen Prüfverfahren in den Matrizes Grundwasser, Oberflächenwasser oder Rohwasser im Hinblick auf die Einhaltung der Norm DIN EN ISO/IEC 17025 oder einer anderen gleichwertigen international anerkannten Norm akkreditiert worden sind. Die Probennahmen müssen nicht von einer akkreditierten Untersuchungsstelle durchgeführt werden. Sie sind jedoch nach den allgemein anerkannten Regeln der Technik durchzuführen.</w:t>
      </w:r>
    </w:p>
    <w:p>
      <w:r>
        <w:rPr>
          <w:color w:val="555555"/>
          <w:sz w:val="17"/>
        </w:rPr>
        <w:t xml:space="preserve">Zitiervorschlag: § 11 TrinkwEGV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https://recht.nulegal.eu/gesetze/TrinkwEGV/11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