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10 TrinkwEGV — Unterrichtungspflicht des Betreibers</w:t>
      </w:r>
    </w:p>
    <w:p>
      <w:r>
        <w:rPr>
          <w:color w:val="555555"/>
          <w:sz w:val="18"/>
        </w:rPr>
        <w:t xml:space="preserve">Trinkwassereinzugsgebieteverordnung</w:t>
      </w:r>
    </w:p>
    <w:p>
      <w:r>
        <w:rPr>
          <w:color w:val="555555"/>
          <w:sz w:val="18"/>
        </w:rPr>
        <w:t xml:space="preserve">Stand: 12.12.2023 (konsolidierte Textfassung, kein amtliches Inkrafttretensdatum)</w:t>
      </w:r>
    </w:p>
    <w:p>
      <w:r>
        <w:t xml:space="preserve">(1) Der Betreiber unterrichtet die zuständige Behörde unverzüglich über</w:t>
      </w:r>
    </w:p>
    <w:p>
      <w:pPr>
        <w:ind w:left="420"/>
      </w:pPr>
      <w:r>
        <w:t xml:space="preserve">1. eine ungewöhnlich hohe Konzentration eines untersuchten Parameters verglichen mit zurückliegenden Werten und</w:t>
      </w:r>
    </w:p>
    <w:p>
      <w:pPr>
        <w:ind w:left="420"/>
      </w:pPr>
      <w:r>
        <w:t xml:space="preserve">2. besondere Vorkommnisse, die die für den Gebrauch als Trinkwasser relevante Beschaffenheit des Wassers im Trinkwassereinzugsgebiet (Wasserbeschaffenheit) nachteilig beeinflussen können.</w:t>
      </w:r>
    </w:p>
    <w:p>
      <w:r>
        <w:t xml:space="preserve">Die zuständige Behörde unterrichtet in den Fällen des Satzes 1 das Gesundheitsamt.</w:t>
      </w:r>
    </w:p>
    <w:p>
      <w:r>
        <w:t xml:space="preserve">(2) Der Betreiber unterrichtet die zuständige Behörde in elektronischer Form</w:t>
      </w:r>
    </w:p>
    <w:p>
      <w:pPr>
        <w:ind w:left="420"/>
      </w:pPr>
      <w:r>
        <w:t xml:space="preserve">1. auf Nachfrage innerhalb einer von ihr festgelegten angemessenen Frist über die Ergebnisse der im Untersuchungsprogramm nach § 9 Absatz 1 festgelegten Untersuchungen im vorangegangenen Kalenderjahr und</w:t>
      </w:r>
    </w:p>
    <w:p>
      <w:pPr>
        <w:ind w:left="420"/>
      </w:pPr>
      <w:r>
        <w:t xml:space="preserve">2. über Trends, die im vorangegangenen Kalenderjahr erkennbar geworden sind.</w:t>
      </w:r>
    </w:p>
    <w:p>
      <w:r>
        <w:t xml:space="preserve">Die zuständige Behörde oder eine andere nach Landesrecht zuständige Stelle kann bestimmen, dass für die Unterrichtung nach Satz 1 einheitliche elektronische Datenverarbeitungsverfahren anzuwenden sind.</w:t>
      </w:r>
    </w:p>
    <w:p>
      <w:r>
        <w:rPr>
          <w:color w:val="555555"/>
          <w:sz w:val="17"/>
        </w:rPr>
        <w:t xml:space="preserve">Zitiervorschlag: § 10 TrinkwEGV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https://recht.nulegal.eu/gesetze/TrinkwEGV/10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