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TreuhUntÜV — Inkrafttreten</w:t>
      </w:r>
    </w:p>
    <w:p>
      <w:r>
        <w:rPr>
          <w:color w:val="555555"/>
          <w:sz w:val="18"/>
        </w:rPr>
        <w:t xml:space="preserve">Treuhandunternehmensübertragungsverordnung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4 TreuhUntÜV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https://recht.nulegal.eu/gesetze/TreuhUnt%C3%9CV/4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