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TreuhUntÜV — Haftung im Innenverhältnis</w:t>
      </w:r>
    </w:p>
    <w:p>
      <w:r>
        <w:rPr>
          <w:color w:val="555555"/>
          <w:sz w:val="18"/>
        </w:rPr>
        <w:t xml:space="preserve">Treuhandunternehmensübertragungsverordnung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Im Innenverhältnis haftet für die nach § 23a Abs. 3 des Treuhandgesetzes auf den jeweiligen Rechtsnachfolger übergegangenen Verbindlichkeiten allein der Bund, soweit es sich um Verbindlichkeiten aus Finanzierungszusagen der Treuhandanstalt unmittelbar zugunsten von Unternehmen handelt.</w:t>
      </w:r>
    </w:p>
    <w:p>
      <w:r>
        <w:t xml:space="preserve">(2) Ferner haftet im Innenverhältnis allein der Bund für die nach § 23a Abs. 3 des Treuhandgesetzes auf den jeweiligen Rechtsnachfolger übergegangenen Verbindlichkeiten, soweit diese nicht durch das übertragene Vermögen gedeckt sind.</w:t>
      </w:r>
    </w:p>
    <w:p>
      <w:r>
        <w:rPr>
          <w:color w:val="555555"/>
          <w:sz w:val="17"/>
        </w:rPr>
        <w:t xml:space="preserve">Zitiervorschlag: § 3 TreuhUntÜV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https://recht.nulegal.eu/gesetze/TreuhUnt%C3%9CV/3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