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TreuhUntÜV 2</w:t>
      </w:r>
    </w:p>
    <w:p>
      <w:r>
        <w:rPr>
          <w:color w:val="555555"/>
          <w:sz w:val="18"/>
        </w:rPr>
        <w:t xml:space="preserve">Zweite Treuhandunternehmensübertragungsverordnung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23a Abs. 1 und 2 des Treuhandgesetzes, der durch Artikel 1 Nr. 9 des Gesetzes vom 9. August 1994 (BGBl. I S. 2062) eingefügt worden ist, verordnet die Bundesregierung:</w:t>
      </w:r>
    </w:p>
    <w:p>
      <w:r>
        <w:rPr>
          <w:color w:val="555555"/>
          <w:sz w:val="17"/>
        </w:rPr>
        <w:t xml:space="preserve">Zitiervorschlag: Eingangsformel TreuhUntÜV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https://recht.nulegal.eu/gesetze/TreuhUnt%C3%9CV%202/eingangsformel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