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TreuhUntÜV 2 — Inkrafttreten</w:t>
      </w:r>
    </w:p>
    <w:p>
      <w:r>
        <w:rPr>
          <w:color w:val="555555"/>
          <w:sz w:val="18"/>
        </w:rPr>
        <w:t xml:space="preserve">Zweite 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TreuhUntÜV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https://recht.nulegal.eu/gesetze/TreuhUnt%C3%9CV%202/3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TreuhUntÜV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