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TreuhUntÜV 2 — Übertragung von Unternehmensbeteiligungen</w:t>
      </w:r>
    </w:p>
    <w:p>
      <w:r>
        <w:rPr>
          <w:color w:val="555555"/>
          <w:sz w:val="18"/>
        </w:rPr>
        <w:t xml:space="preserve">Zweite Treuhandunternehmensübertragungsverordnung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Geschäftsanteile der Bundesanstalt für vereinigungsbedingte Sonderaufgaben an der im Handelsregister des Amtsgerichts Berlin-Charlottenburg unter HRB 38419 eingetragenen DUHO Verwaltungs-Gesellschaft mbH mit Sitz in Berlin werden mit Wirkung vom 31. Juli 1996 auf den Bund übertragen.</w:t>
      </w:r>
    </w:p>
    <w:p>
      <w:r>
        <w:t xml:space="preserve">(2) Die Geschäftsanteile der Bundesanstalt für vereinigungsbedingte Sonderaufgaben an den in der Anlage bezeichneten Gesellschaften werden mit Wirkung vom 1. August 1996 auf die DUHO Verwaltungs-Gesellschaft mbH übertragen.</w:t>
      </w:r>
    </w:p>
    <w:p>
      <w:r>
        <w:rPr>
          <w:color w:val="555555"/>
          <w:sz w:val="17"/>
        </w:rPr>
        <w:t xml:space="preserve">Zitiervorschlag: § 2 TreuhUntÜV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https://recht.nulegal.eu/gesetze/TreuhUnt%C3%9CV%202/2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