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TreuhUmbenV</w:t>
      </w:r>
    </w:p>
    <w:p>
      <w:r>
        <w:rPr>
          <w:color w:val="555555"/>
          <w:sz w:val="18"/>
        </w:rPr>
        <w:t xml:space="preserve">Treuhandanstaltumbenennungsverordnung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23b Satz 1 des Treuhandgesetzes, der durch Artikel 1 Nr. 9 des Gesetzes vom 9. August 1994 (BGBl. I S. 2062) eingefügt worden ist, verordnet die Bundesregierung und auf Grund des Artikels 14 Abs. 5 Satz 6 Nr. 3 des Zweiten Vermögensrechtsänderungsgesetzes, der durch Artikel 12 des Investitionserleichterungs- und Wohnbaulandgesetzes vom 22. April 1993 (BGBl. I S. 466) neu gefaßt worden ist, und des § 10 der Grundstücksverkehrsordnung in der Fassung des Artikels 15 § 1 des Gesetzes vom 20. Dezember 1993 (BGBl. I S. 2182) verordnet das Bundesministerium der Justiz im Einvernehmen mit den Bundesministerien der Finanzen und für Wirtschaft:</w:t>
      </w:r>
    </w:p>
    <w:p>
      <w:r>
        <w:rPr>
          <w:color w:val="555555"/>
          <w:sz w:val="17"/>
        </w:rPr>
        <w:t xml:space="preserve">Zitiervorschlag: Eingangsformel TreuhUmbenV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https://recht.nulegal.eu/gesetze/TreuhUmbenV/eingangsformel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