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TreuhLÜV</w:t>
      </w:r>
    </w:p>
    <w:p>
      <w:r>
        <w:rPr>
          <w:color w:val="555555"/>
          <w:sz w:val="18"/>
        </w:rPr>
        <w:t xml:space="preserve">Treuhandliegenschaftsübertragungsverordnung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23a Abs. 1 und 2 des Treuhandgesetzes, der durch Artikel 1 Nr. 9 des Gesetzes vom 9. August 1994 (BGBl. I S. 2062) eingefügt worden ist, verordnet die Bundesregierung:</w:t>
      </w:r>
    </w:p>
    <w:p>
      <w:r>
        <w:rPr>
          <w:color w:val="555555"/>
          <w:sz w:val="17"/>
        </w:rPr>
        <w:t xml:space="preserve">Zitiervorschlag: Eingangsformel TreuhLÜV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https://recht.nulegal.eu/gesetze/TreuhL%C3%9CV/eingangsformel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