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TreuhLÜV — Inkrafttreten</w:t>
      </w:r>
    </w:p>
    <w:p>
      <w:r>
        <w:rPr>
          <w:color w:val="555555"/>
          <w:sz w:val="18"/>
        </w:rPr>
        <w:t xml:space="preserve">Treuhandliegenschaftsübertragungsverordnung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3 TreuhLÜV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https://recht.nulegal.eu/gesetze/TreuhL%C3%9CV/3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