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TreuhLÜV — Übertragung von Unternehmensbeteiligungen</w:t>
      </w:r>
    </w:p>
    <w:p>
      <w:r>
        <w:rPr>
          <w:color w:val="555555"/>
          <w:sz w:val="18"/>
        </w:rPr>
        <w:t xml:space="preserve">Treuhandliegenschaftsübertragungsverordnung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Geschäftsanteile der Treuhandanstalt an der im Handelsregister des Amtsgerichts Berlin-Charlottenburg unter HRB 36064 eingetragenen Liegenschaftsgesellschaft der Treuhandanstalt mbH mit Sitz in Berlin werden mit Wirkung vom 31. Dezember 1994 auf den Bund übertragen.</w:t>
      </w:r>
    </w:p>
    <w:p>
      <w:r>
        <w:t xml:space="preserve">(2) Die Geschäftsanteile der Treuhandanstalt an den in der Anlage 1 bezeichneten Gesellschaften werden mit Wirkung vom 1. Januar 1995 auf die Liegenschaftsgesellschaft der Treuhandanstalt mbH übertragen.</w:t>
      </w:r>
    </w:p>
    <w:p>
      <w:r>
        <w:t xml:space="preserve">(3) Die Aktien und Geschäftsanteile der Bundesanstalt für vereinigungsbedingte Sonderaufgaben an den in Anlage 2 bezeichneten Gesellschaften werden mit Wirkung vom 1. Juli 1996 auf die TLG Treuhand Liegenschaftsgesellschaft mbH übertragen.</w:t>
      </w:r>
    </w:p>
    <w:p>
      <w:r>
        <w:rPr>
          <w:color w:val="555555"/>
          <w:sz w:val="17"/>
        </w:rPr>
        <w:t xml:space="preserve">Zitiervorschlag: § 2 TreuhLÜV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https://recht.nulegal.eu/gesetze/TreuhL%C3%9CV/2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