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TreuhGDV 5</w:t>
      </w:r>
    </w:p>
    <w:p>
      <w:r>
        <w:rPr>
          <w:color w:val="555555"/>
          <w:sz w:val="18"/>
        </w:rPr>
        <w:t xml:space="preserve">Fünfte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zügigen Reorganisation des volkseigenen Vermögens und seiner Entflechtung im Interesse zweckmäßiger Unternehmensstrukturen wird nach Maßgabe des § 1 Abs. 2 und § 24 Abs. 4 des Gesetzes zur Privatisierung und Reorganisation des volkseigenen Vermögens (Treuhandgesetz) vom 17. Juni 1990 (GBl. I Nr. 33 S. 300) folgendes verordnet:</w:t>
      </w:r>
    </w:p>
    <w:p>
      <w:r>
        <w:rPr>
          <w:color w:val="555555"/>
          <w:sz w:val="17"/>
        </w:rPr>
        <w:t xml:space="preserve">Zitiervorschlag: Eingangsformel TreuhGDV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