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TreuhGDV 5</w:t>
      </w:r>
    </w:p>
    <w:p>
      <w:r>
        <w:rPr>
          <w:color w:val="555555"/>
          <w:sz w:val="18"/>
        </w:rPr>
        <w:t xml:space="preserve">Fünfte Durchführungsverordnung zum 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Streitigkeiten werden bei Unternehmen, an denen die Treuhandanstalt beteiligt ist, durch die Treuhandanstalt geschlichtet. Der Gerichtsweg wird dadurch nicht berührt.</w:t>
      </w:r>
    </w:p>
    <w:p>
      <w:r>
        <w:rPr>
          <w:color w:val="555555"/>
          <w:sz w:val="17"/>
        </w:rPr>
        <w:t xml:space="preserve">Zitiervorschlag: § 5 TreuhGDV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https://recht.nulegal.eu/gesetze/TreuhGDV%205/5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