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TreuhGDV 4</w:t>
      </w:r>
    </w:p>
    <w:p>
      <w:r>
        <w:rPr>
          <w:color w:val="555555"/>
          <w:sz w:val="18"/>
        </w:rPr>
        <w:t xml:space="preserve">Vierte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Grundlage des § 1 Abs. 2 und § 24 Abs. 4 des Gesetzes vom 17. Juni 1990 zur Privatisierung und Reorganisation des volkseigenen Vermögens (Treuhandgesetz) (GBl. I Nr. 33 S. 300) wird folgendes verordnet:</w:t>
      </w:r>
    </w:p>
    <w:p>
      <w:r>
        <w:rPr>
          <w:color w:val="555555"/>
          <w:sz w:val="17"/>
        </w:rPr>
        <w:t xml:space="preserve">Zitiervorschlag: Eingangsformel TreuhGDV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