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TreuhGDV 3</w:t>
      </w:r>
    </w:p>
    <w:p>
      <w:r>
        <w:rPr>
          <w:color w:val="555555"/>
          <w:sz w:val="18"/>
        </w:rPr>
        <w:t xml:space="preserve">Dritte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Treuhandanstalt hat in Abstimmung mit dem Ministerium für Ernährung, Land- und Forstwirtschaft die erforderlichen Voraussetzungen für die Erfassung, Privatisierung und Reorganisation der volkseigenen Vermögenswerte im Bereich der Land- und Forstwirtschaft sicherzustellen und in Übereinstimmung mit § 1 Abs. 6 des Treuhandgesetzes die dazu notwendigen Organisationsstrukturen in der Treuhandanstalt zu schaffen.</w:t>
      </w:r>
    </w:p>
    <w:p>
      <w:r>
        <w:rPr>
          <w:color w:val="555555"/>
          <w:sz w:val="17"/>
        </w:rPr>
        <w:t xml:space="preserve">Zitiervorschlag: § 4 TreuhGDV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