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TreuhGDV 2</w:t>
      </w:r>
    </w:p>
    <w:p>
      <w:r>
        <w:rPr>
          <w:color w:val="555555"/>
          <w:sz w:val="18"/>
        </w:rPr>
        <w:t xml:space="preserve">Zweite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Durchführungsverordnung tritt mit ihrer Veröffentlichung in Kraft.</w:t>
      </w:r>
    </w:p>
    <w:p>
      <w:r>
        <w:rPr>
          <w:color w:val="555555"/>
          <w:sz w:val="17"/>
        </w:rPr>
        <w:t xml:space="preserve">Zitiervorschlag: § 6 TreuhGDV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https://recht.nulegal.eu/gesetze/TreuhGDV%202/6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