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TreuhGDV 2</w:t>
      </w:r>
    </w:p>
    <w:p>
      <w:r>
        <w:rPr>
          <w:color w:val="555555"/>
          <w:sz w:val="18"/>
        </w:rPr>
        <w:t xml:space="preserve">Zweite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Durchführungsverordnung regelt die Privatisierung von ausgesonderten Grundstücken, Gebäuden und baulichen Anlagen, die sich in Rechtsträgerschaft des Ministeriums für Abrüstung und Verteidigung befinden, sowie die Verwertung von ausgesonderter Wehrtechnik.</w:t>
      </w:r>
    </w:p>
    <w:p>
      <w:r>
        <w:t xml:space="preserve">(2) Von der Bestimmung des Absatzes 1 wird die Übertragung von Grundstücken, Gebäuden und baulichen Anlagen auf die Länder, Landkreise, Städte und Gemeinden auf der Grundlage der Gesetze und anderer Rechtsvorschriften nicht berührt.</w:t>
      </w:r>
    </w:p>
    <w:p>
      <w:r>
        <w:rPr>
          <w:color w:val="555555"/>
          <w:sz w:val="17"/>
        </w:rPr>
        <w:t xml:space="preserve">Zitiervorschlag: § 1 TreuhGDV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