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TreuhGDV 1</w:t>
      </w:r>
    </w:p>
    <w:p>
      <w:r>
        <w:rPr>
          <w:color w:val="555555"/>
          <w:sz w:val="18"/>
        </w:rPr>
        <w:t xml:space="preserve">Erste Durchführungsverordnung zum 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Aufgaben, Rechte und Pflichten der Treuhand-Aktiengesellschaften bei der treuhänderischen Verwaltung der Anteile ergeben sich im einzelnen aus ihrer Satzung und dem zwischen der Treuhandanstalt und den Treuhand-Aktiengesellschaften abzuschließenden Treuhandvertrag.</w:t>
      </w:r>
    </w:p>
    <w:p>
      <w:r>
        <w:t xml:space="preserve">(2) Jede Treuhand-Aktiengesellschaft ist verpflichtet, durch Beteiligungsveräußerung erzielte Erlöse und Erträge aus Beteiligungen an die Treuhandanstalt abzuführen, soweit im Unternehmens- und Finanzierungsplan und nach Maßgabe des § 5 Abs. 1 des Treuhandgesetzes durch die Treuhandanstalt nicht etwas anderes festgelegt ist oder die Treuhandanstalt sie der Treuhand-Aktiengesellschaft zur Erfüllung ihrer Aufgaben beläßt. Maßnahmen nach § 9 Abs. 4 des Treuhandgesetzes bedürfen der Einwilligung der Treuhandanstalt. Die Treuhandanstalt ist ermächtigt, Wertgrenzen für das Erfordernis der Einwilligung im Einvernehmen mit dem Ministerium der Finanzen festzulegen.</w:t>
      </w:r>
    </w:p>
    <w:p>
      <w:r>
        <w:rPr>
          <w:color w:val="555555"/>
          <w:sz w:val="17"/>
        </w:rPr>
        <w:t xml:space="preserve">Zitiervorschlag: § 3 TreuhGDV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https://recht.nulegal.eu/gesetze/TreuhGDV%201/3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