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Getragen von der Absicht,</w:t>
      </w:r>
    </w:p>
    <w:p>
      <w:pPr>
        <w:ind w:left="420"/>
      </w:pPr>
      <w:r>
        <w:t xml:space="preserve">- die unternehmerische Tätigkeit des Staates durch Privatisierung so rasch und so weit wie möglich zurückzuführen,</w:t>
      </w:r>
    </w:p>
    <w:p>
      <w:pPr>
        <w:ind w:left="420"/>
      </w:pPr>
      <w:r>
        <w:t xml:space="preserve">- die Wettbewerbsfähigkeit möglichst vieler Unternehmen herzustellen und somit Arbeitsplätze zu sichern und neue zu schaffen,</w:t>
      </w:r>
    </w:p>
    <w:p>
      <w:pPr>
        <w:ind w:left="420"/>
      </w:pPr>
      <w:r>
        <w:t xml:space="preserve">- Grund und Boden für wirtschaftliche Zwecke bereitzustellen,</w:t>
      </w:r>
    </w:p>
    <w:p>
      <w:r>
        <w:t xml:space="preserve">wird folgendes Gesetz erlassen:</w:t>
      </w:r>
    </w:p>
    <w:p>
      <w:r>
        <w:rPr>
          <w:color w:val="555555"/>
          <w:sz w:val="17"/>
        </w:rPr>
        <w:t xml:space="preserve">Zitiervorschlag: Eingangsformel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