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TreuhG — - Maßgaben für das beigetretene Gebiet (Art. 3 EinigVtr) -</w:t>
      </w:r>
    </w:p>
    <w:p>
      <w:r>
        <w:rPr>
          <w:color w:val="555555"/>
          <w:sz w:val="18"/>
        </w:rPr>
        <w:t xml:space="preserve">Treuhandgesetz</w:t>
      </w:r>
    </w:p>
    <w:p>
      <w:r>
        <w:rPr>
          <w:color w:val="555555"/>
          <w:sz w:val="18"/>
        </w:rPr>
        <w:t xml:space="preserve">Stand: 10.06.2019 (konsolidierte Textfassung, kein amtliches Inkrafttretensdatum)</w:t>
      </w:r>
    </w:p>
    <w:p>
      <w:r>
        <w:t xml:space="preserve">Gemäß Artikel 25 des Einigungsvertrages vom 31.8.1990 iVm Art. 1 des Gesetzes vom 23.9.1990 II 885, 889 gilt das Gesetz zur Privatisierung und Reorganisation des volkseigenen Vermögens - Treuhandgesetz - vom 17. Juni 1990 (GBl. I Nr. 33 S. 300) mit Wirksamwerden des Beitritts mit folgender Maßgabe fort:</w:t>
      </w:r>
    </w:p>
    <w:p>
      <w:r>
        <w:t xml:space="preserve">(1) Die Treuhandanstalt ist auch künftig damit beauftragt, gemäß den Bestimmungen des Treuhandgesetzes die früheren volkseigenen Betriebe wettbewerblich zu strukturieren und zu privatisieren. Sie wird rechtsfähige bundesunmittelbare Anstalt des öffentlichen Rechts. Die Fach- und Rechtsaufsicht obliegt dem Bundesminister der Finanzen, der die Fachaufsicht im Einvernehmen mit dem Bundesminister für Wirtschaft und dem jeweils zuständigen Bundesminister wahrnimmt. Beteiligungen der Treuhandanstalt sind mittelbare Beteiligungen des Bundes. Änderungen der Satzung bedürfen der Zustimmung der Bundesregierung.</w:t>
      </w:r>
    </w:p>
    <w:p>
      <w:r>
        <w:t xml:space="preserve">(2) Die Zahl der Mitglieder des Verwaltungsrats der Treuhandanstalt wird von 16 auf 20, für den ersten Verwaltungsrat auf 23, erhöht. Anstelle der beiden aus der Mitte der Volkskammer gewählten Vertreter erhalten die in Artikel 1 genannten Länder im Verwaltungsrat der Treuhandanstalt je einen Sitz. Abweichend von § 4 Abs. 2 des Treuhandgesetzes werden der Vorsitzende und die übrigen Mitglieder des Verwaltungsrats von der Bundesregierung berufen.</w:t>
      </w:r>
    </w:p>
    <w:p>
      <w:r>
        <w:t xml:space="preserve">(3) Die Vertragsparteien bekräftigen, daß das volkseigene Vermögen ausschließlich und allein zugunsten von Maßnahmen in dem in Artikel 3 genannten Gebiet unabhängig von der haushaltsmäßigen Trägerschaft verwendet wird. Entsprechend sind Erlöse der Treuhandanstalt gemäß Artikel 26 Abs. 4 und Artikel 27 Abs. 3 des Vertrags vom 18. Mai 1990 zu verwenden. Im Rahmen der Strukturanpassung der Landwirtschaft können Erlöse der Treuhandanstalt im Einzelfall auch für Entschuldungsmaßnahmen zu Gunsten von landwirtschaftlichen Unternehmen verwendet werden. Zuvor sind deren eigene Vermögenswerte einzusetzen. Schulden, die auszugliedernden Betriebsteilen zuzuordnen sind, bleiben unberücksichtigt. Hilfe zur Entschuldung kann auch mit der Maßgabe gewährt werden, daß die Unternehmen die gewährten Leistungen im Rahmen ihrer wirtschaftlichen Möglichkeiten ganz oder teilweise zurückerstatten.</w:t>
      </w:r>
    </w:p>
    <w:p>
      <w:r>
        <w:t xml:space="preserve">(4) Die der Treuhandanstalt durch Artikel 27 Abs. 1 des Vertrags vom 18. Mai 1990 eingeräumte Ermächtigung zur Aufnahme von Krediten wird von insgesamt bis zu 17 Milliarden Deutsche Mark auf bis zu 25 Milliarden Deutsche Mark erhöht. Die vorgenannten Kredite sollen in der Regel bis zum 31. Dezember 1995 zurückgeführt werden. Der Bundesminister der Finanzen kann eine Verlängerung der Laufzeiten und bei grundlegend veränderten Bedingungen eine Überschreitung der Kreditobergrenzen zulassen.</w:t>
      </w:r>
    </w:p>
    <w:p>
      <w:r>
        <w:t xml:space="preserve">(5) Die Treuhandanstalt wird ermächtigt, im Einvernehmen mit dem Bundesminister der Finanzen Bürgschaften, Garantien und sonstige Gewährleistungen zu übernehmen.</w:t>
      </w:r>
    </w:p>
    <w:p>
      <w:r>
        <w:t xml:space="preserve">(6) Nach Maßgabe des Artikels 10 Abs. 6 des Vertrags vom 18. Mai 1990 sind Möglichkeiten vorzusehen, daß den Sparern zu einem späteren Zeitpunkt für den bei der Umstellung 2 : 1 reduzierten Betrag ein verbrieftes Anteilrecht am volkseigenen Vermögen eingeräumt werden kann.</w:t>
      </w:r>
    </w:p>
    <w:p>
      <w:r>
        <w:t xml:space="preserve">(7) Bis zur Feststellung der DM-Eröffnungsbilanz sind die Zins- und Tilgungsleistungen auf Kredite, die vor dem 30. Juni 1990 aufgenommen wurden, auszusetzen. Die anfallenden Zinszahlungen sind der Deutschen Kreditbank AG und den anderen Banken durch die Treuhandanstalt zu erstatten.</w:t>
      </w:r>
    </w:p>
    <w:p>
      <w:r>
        <w:rPr>
          <w:color w:val="555555"/>
          <w:sz w:val="17"/>
        </w:rPr>
        <w:t xml:space="preserve">Zitiervorschlag: Anhang EV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