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TreuhG</w:t>
      </w:r>
    </w:p>
    <w:p>
      <w:r>
        <w:rPr>
          <w:color w:val="555555"/>
          <w:sz w:val="18"/>
        </w:rPr>
        <w:t xml:space="preserve">Treuhandgesetz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vorläufige Leitungsorgan hat die Durchführung der Maßnahmen nach § 19 bei dem Handelsregister anzumelden. Der Anmeldung sind beizufügen:</w:t>
      </w:r>
    </w:p>
    <w:p>
      <w:pPr>
        <w:ind w:left="420"/>
      </w:pPr>
      <w:r>
        <w:t xml:space="preserve">1. der Gesellschaftsvertrag oder die Satzung;</w:t>
      </w:r>
    </w:p>
    <w:p>
      <w:pPr>
        <w:ind w:left="420"/>
      </w:pPr>
      <w:r>
        <w:t xml:space="preserve">2. die Eröffnungsbilanz;</w:t>
      </w:r>
    </w:p>
    <w:p>
      <w:pPr>
        <w:ind w:left="420"/>
      </w:pPr>
      <w:r>
        <w:t xml:space="preserve">3. der Gründungsbericht;</w:t>
      </w:r>
    </w:p>
    <w:p>
      <w:pPr>
        <w:ind w:left="420"/>
      </w:pPr>
      <w:r>
        <w:t xml:space="preserve">4. der Prüfungsbericht.</w:t>
      </w:r>
    </w:p>
    <w:p>
      <w:r>
        <w:t xml:space="preserve">(2) Im Falle des § 20 Abs. 3 veranlaßt die Treuhandanstalt die Anmeldung.</w:t>
      </w:r>
    </w:p>
    <w:p>
      <w:r>
        <w:t xml:space="preserve">(3) Liegen die gesetzlichen Voraussetzungen für die Eintragung der Kapitalgesellschaften vor, so löscht das Registergericht den Zusatz "im Aufbau" in der bisherigen Firma der Kapitalgesellschaft.</w:t>
      </w:r>
    </w:p>
    <w:p>
      <w:r>
        <w:rPr>
          <w:color w:val="555555"/>
          <w:sz w:val="17"/>
        </w:rPr>
        <w:t xml:space="preserve">Zitiervorschlag: § 21 TreuhG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