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TreuhG</w:t>
      </w:r>
    </w:p>
    <w:p>
      <w:r>
        <w:rPr>
          <w:color w:val="555555"/>
          <w:sz w:val="18"/>
        </w:rPr>
        <w:t xml:space="preserve">Treuhandgesetz</w:t>
      </w:r>
    </w:p>
    <w:p>
      <w:r>
        <w:rPr>
          <w:color w:val="555555"/>
          <w:sz w:val="18"/>
        </w:rPr>
        <w:t xml:space="preserve">Stand: 10.06.2019 (konsolidierte Textfassung, kein amtliches Inkrafttretensdatum)</w:t>
      </w:r>
    </w:p>
    <w:p>
      <w:r>
        <w:t xml:space="preserve">Unverzüglich nach der Eintragung der Aktiengesellschaft im Aufbau oder der Gesellschaft mit beschränkter Haftung im Aufbau in das Handelsregister hat deren vorläufiges Leitungsorgan die für die Gründung einer Aktiengesellschaft oder einer Gesellschaft mit beschränkter Haftung gesetzlich erforderlichen Maßnahmen für die Gründung einzuleiten.</w:t>
      </w:r>
    </w:p>
    <w:p>
      <w:r>
        <w:rPr>
          <w:color w:val="555555"/>
          <w:sz w:val="17"/>
        </w:rPr>
        <w:t xml:space="preserve">Zitiervorschlag: § 19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