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TreuhG</w:t>
      </w:r>
    </w:p>
    <w:p>
      <w:r>
        <w:rPr>
          <w:color w:val="555555"/>
          <w:sz w:val="18"/>
        </w:rPr>
        <w:t xml:space="preserve">Treuhandgesetz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Bis zur endgültigen Feststellung der Satzung einer gemäß § 11 Abs. 2 entstandenen Aktiengesellschaft lauten deren Aktien auf den Inhaber. Der Nennbetrag der Aktien beträgt fünfzig Deutsche Mark.</w:t>
      </w:r>
    </w:p>
    <w:p>
      <w:r>
        <w:t xml:space="preserve">(2) Bis zum endgültigen Abschluß des Gesellschaftsvertrages einer gemäß § 11 Abs. 2 entstandenen Gesellschaft mit beschränkter Haftung beträgt die Stammeinlage eintausend Deutsche Mark.</w:t>
      </w:r>
    </w:p>
    <w:p>
      <w:r>
        <w:rPr>
          <w:color w:val="555555"/>
          <w:sz w:val="17"/>
        </w:rPr>
        <w:t xml:space="preserve">Zitiervorschlag: § 17 TreuhG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