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TreuhG</w:t>
      </w:r>
    </w:p>
    <w:p>
      <w:r>
        <w:rPr>
          <w:color w:val="555555"/>
          <w:sz w:val="18"/>
        </w:rPr>
        <w:t xml:space="preserve">Treuhandgesetz</w:t>
      </w:r>
    </w:p>
    <w:p>
      <w:r>
        <w:rPr>
          <w:color w:val="555555"/>
          <w:sz w:val="18"/>
        </w:rPr>
        <w:t xml:space="preserve">Stand: 10.06.2019 (konsolidierte Textfassung, kein amtliches Inkrafttretensdatum)</w:t>
      </w:r>
    </w:p>
    <w:p>
      <w:r>
        <w:t xml:space="preserve">(1) Bis zum 31. Juli 1990 werden von der Treuhandanstalt Personen als vorläufige Mitglieder des Vorstandes oder vorläufige Geschäftsführer bestellt. Bis zu ihrer Bestellung sind die Aufgaben des Vorstandes oder der Geschäftsführung durch die geschäftsführenden Generaldirektoren oder Betriebsdirektoren wahrzunehmen.</w:t>
      </w:r>
    </w:p>
    <w:p>
      <w:r>
        <w:t xml:space="preserve">(2) Die Vorschriften des Aktiengesetzes oder des Gesetzes über die Gesellschaften mit beschränkter Haftung über die Stellung und die Verantwortlichkeit der Mitglieder des Vorstandes oder der Geschäftsführer sind auf die in Abs. 1 genannten Personen anzuwenden. Die Treuhandanstalt haftet für Schäden aus Pflichtverletzungen dieser Personen an deren Stelle. Regreßansprüche der Treuhandanstalt gegen diese Personen aufgrund anderer Rechtsvorschriften bleiben unberührt.</w:t>
      </w:r>
    </w:p>
    <w:p>
      <w:r>
        <w:rPr>
          <w:color w:val="555555"/>
          <w:sz w:val="17"/>
        </w:rPr>
        <w:t xml:space="preserve">Zitiervorschlag: § 16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