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TreuhAbschlG — Übergangsvorschriften</w:t>
      </w:r>
    </w:p>
    <w:p>
      <w:r>
        <w:rPr>
          <w:color w:val="555555"/>
          <w:sz w:val="18"/>
        </w:rPr>
        <w:t xml:space="preserve">Gesetz zur abschließenden Erfüllung der verbliebenen Aufgaben der Treuhandanstalt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Bis zum Erlaß einer neuen Geschäftsordnung nach § 2 Abs. 4 des Treuhandgesetzes gilt die bei Inkrafttreten dieses Gesetzes geltende Geschäftsordnung fort.</w:t>
      </w:r>
    </w:p>
    <w:p>
      <w:r>
        <w:t xml:space="preserve">(2) § 6 des Treuhandgesetzes ist letztmalig auf den Jahresabschluß 1994 anzuwenden.</w:t>
      </w:r>
    </w:p>
    <w:p>
      <w:r>
        <w:rPr>
          <w:color w:val="555555"/>
          <w:sz w:val="17"/>
        </w:rPr>
        <w:t xml:space="preserve">Zitiervorschlag: Art 4 TreuhAbschlG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https://recht.nulegal.eu/gesetze/TreuhAbschlG/4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