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TraraZV (Brandenburg)</w:t>
      </w:r>
    </w:p>
    <w:p>
      <w:r>
        <w:rPr>
          <w:color w:val="555555"/>
          <w:sz w:val="18"/>
        </w:rPr>
        <w:t xml:space="preserve">Transrapid-Zuständigkeitsverordnung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Anhörungsbehörde zur Durchführung des</w:t>
      </w:r>
    </w:p>
    <w:p>
      <w:r>
        <w:t xml:space="preserve">Anhörungsverfahrens nach § 1 Abs. 3 des</w:t>
      </w:r>
    </w:p>
    <w:p>
      <w:r>
        <w:t xml:space="preserve">Magnetschwebebahnplanungsgesetzes (MBPlG) vom 23. November 1994 (BGBl. I S.</w:t>
      </w:r>
    </w:p>
    <w:p>
      <w:r>
        <w:t xml:space="preserve">3486) ist das Brandenburgische Landesamt für Verkehr und Straßenbau.</w:t>
      </w:r>
    </w:p>
    <w:p>
      <w:r>
        <w:rPr>
          <w:color w:val="555555"/>
          <w:sz w:val="17"/>
        </w:rPr>
        <w:t xml:space="preserve">Zitiervorschlag: § 1 TraraZV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https://recht.nulegal.eu/gesetze/TraraZV/1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