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TransparenzG — Bericht der Bundesregierung</w:t>
      </w:r>
    </w:p>
    <w:p>
      <w:r>
        <w:rPr>
          <w:color w:val="555555"/>
          <w:sz w:val="18"/>
        </w:rPr>
        <w:t xml:space="preserve">Transparenzgesetz</w:t>
      </w:r>
    </w:p>
    <w:p>
      <w:r>
        <w:rPr>
          <w:color w:val="555555"/>
          <w:sz w:val="18"/>
        </w:rPr>
        <w:t xml:space="preserve">Stand: 10.06.2019 (konsolidierte Textfassung, kein amtliches Inkrafttretensdatum)</w:t>
      </w:r>
    </w:p>
    <w:p>
      <w:r>
        <w:t xml:space="preserve">Die Bundesregierung legt dem Deutschen Bundestag zum 30. November eines jeden Jahres einen Bericht vor. Der Bericht enthält unter Abwägung des parlamentarischen und öffentlichen Informationsinteresses mit den Rechten der Betreiber eine zusammenfassende Bewertung der nach § 1 im jeweiligen Jahr erlangten Informationen. Der Bericht ist erstmalig zum 30. November 2018 zu erstellen.</w:t>
      </w:r>
    </w:p>
    <w:p>
      <w:r>
        <w:rPr>
          <w:color w:val="555555"/>
          <w:sz w:val="17"/>
        </w:rPr>
        <w:t xml:space="preserve">Zitiervorschlag: § 7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