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TransparenzG — Datennutzung und -übermittlung</w:t>
      </w:r>
    </w:p>
    <w:p>
      <w:r>
        <w:rPr>
          <w:color w:val="555555"/>
          <w:sz w:val="18"/>
        </w:rPr>
        <w:t xml:space="preserve">Transparenzgesetz</w:t>
      </w:r>
    </w:p>
    <w:p>
      <w:r>
        <w:rPr>
          <w:color w:val="555555"/>
          <w:sz w:val="18"/>
        </w:rPr>
        <w:t xml:space="preserve">Stand: 12.08.2020 (konsolidierte Textfassung, kein amtliches Inkrafttretensdatum)</w:t>
      </w:r>
    </w:p>
    <w:p>
      <w:r>
        <w:t xml:space="preserve">Das Bundesamt für Wirtschaft und Ausfuhrkontrolle ist berechtigt, nach § 1 erlangte Daten zur Prüfung der finanziellen Sicherung der kerntechnischen Entsorgung zu nutzen und zu diesem Zweck unter Berücksichtigung der Rechte der Betreiber an das Bundesministerium für Wirtschaft und Energie und das Bundesministerium für Umwelt, Naturschutz und nukleare Sicherheit zu übermitteln. Das Bundesministerium für Umwelt, Naturschutz und nukleare Sicherheit kann die nach § 1 erlangten Daten zur Prüfung der finanziellen Sicherung der kerntechnischen Entsorgung an das Bundesamt für die Sicherheit der nuklearen Entsorgung und an sonstige sachverständige Dritte übermitteln. Die nach § 1 erlangten Daten sind ferner vom Bundesamt für Wirtschaft und Ausfuhrkontrolle zur Prüfung, Sicherstellung und Durchführung der Besteuerung auch an das nach § 20 Absatz 1 der Abgabenordnung zuständige Finanzamt zu übermitteln. Eine Übermittlung an andere Dritte ist ausgeschlossen.</w:t>
      </w:r>
    </w:p>
    <w:p>
      <w:r>
        <w:rPr>
          <w:color w:val="555555"/>
          <w:sz w:val="17"/>
        </w:rPr>
        <w:t xml:space="preserve">Zitiervorschlag: § 6 TransparenzG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https://recht.nulegal.eu/gesetze/TransparenzG/6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