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TranspRLG — Bußgeldvorschriften</w:t>
      </w:r>
    </w:p>
    <w:p>
      <w:r>
        <w:rPr>
          <w:color w:val="555555"/>
          <w:sz w:val="18"/>
        </w:rPr>
        <w:t xml:space="preserve">Transparenzrichtlinie-Gesetz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3 Abs. 1 Satz 1 ein Konto nicht oder nicht in der vorgeschriebenen Weise führt,</w:t>
      </w:r>
    </w:p>
    <w:p>
      <w:pPr>
        <w:ind w:left="420"/>
      </w:pPr>
      <w:r>
        <w:t xml:space="preserve">2. entgegen § 3 Abs. 1 Satz 4 eine Aufzeichnung nicht, nicht richtig oder nicht vollständig führt,</w:t>
      </w:r>
    </w:p>
    <w:p>
      <w:pPr>
        <w:ind w:left="420"/>
      </w:pPr>
      <w:r>
        <w:t xml:space="preserve">3. entgegen § 4 Satz 1 eine Aufzeichnung nicht oder nicht mindestens fünf Jahre aufbewahrt oder</w:t>
      </w:r>
    </w:p>
    <w:p>
      <w:pPr>
        <w:ind w:left="420"/>
      </w:pPr>
      <w:r>
        <w:t xml:space="preserve">4. einer vollziehbaren Anordnung nach § 5 Satz 1 zuwiderhandelt.</w:t>
      </w:r>
    </w:p>
    <w:p>
      <w:r>
        <w:t xml:space="preserve">(2) Die Ordnungswidrigkeit kann mit einer Geldbuße bis zu zwanzigtausend Euro geahndet werden.</w:t>
      </w:r>
    </w:p>
    <w:p>
      <w:r>
        <w:rPr>
          <w:color w:val="555555"/>
          <w:sz w:val="17"/>
        </w:rPr>
        <w:t xml:space="preserve">Zitiervorschlag: § 8 TranspRLG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