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TranspRLG — Inkrafttreten</w:t>
      </w:r>
    </w:p>
    <w:p>
      <w:r>
        <w:rPr>
          <w:color w:val="555555"/>
          <w:sz w:val="18"/>
        </w:rPr>
        <w:t xml:space="preserve">Transparenzrichtlinie-Gesetz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 nach der Verkündung in Kraft.</w:t>
      </w:r>
    </w:p>
    <w:p>
      <w:r>
        <w:rPr>
          <w:color w:val="555555"/>
          <w:sz w:val="17"/>
        </w:rPr>
        <w:t xml:space="preserve">Zitiervorschlag: § 11 TranspRLG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https://recht.nulegal.eu/gesetze/TranspRLG/11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