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TranspRLG — Anwendungsbereich</w:t>
      </w:r>
    </w:p>
    <w:p>
      <w:r>
        <w:rPr>
          <w:color w:val="555555"/>
          <w:sz w:val="18"/>
        </w:rPr>
        <w:t xml:space="preserve">Transparenzrichtlinie-Gesetz</w:t>
      </w:r>
    </w:p>
    <w:p>
      <w:r>
        <w:rPr>
          <w:color w:val="555555"/>
          <w:sz w:val="18"/>
        </w:rPr>
        <w:t xml:space="preserve">Stand: 10.06.2019 (konsolidierte Textfassung, kein amtliches Inkrafttretensdatum)</w:t>
      </w:r>
    </w:p>
    <w:p>
      <w:r>
        <w:t xml:space="preserve">(1) Die Vorschriften dieses Gesetzes gelten für Unternehmen,</w:t>
      </w:r>
    </w:p>
    <w:p>
      <w:pPr>
        <w:ind w:left="420"/>
      </w:pPr>
      <w:r>
        <w:t xml:space="preserve">1. denen zur Ausübung bestimmter Tätigkeiten besondere oder ausschließliche Rechte im Sinne des Artikels 86 Abs. 1 des Vertrages zur Gründung der Europäischen Gemeinschaft gewährt werden, oder</w:t>
      </w:r>
    </w:p>
    <w:p>
      <w:pPr>
        <w:ind w:left="420"/>
      </w:pPr>
      <w:r>
        <w:t xml:space="preserve">2. die mit Dienstleistungen von allgemeinem wirtschaftlichem Interesse im Sinne des Artikels 86 Abs. 2 des Vertrages zur Gründung der Europäischen Gemeinschaft betraut sind und in Bezug auf diese Dienstleistungen staatliche Ausgleichsleistungen in jedweder Form erhalten, die nicht für einen angemessenen Zeitraum im Rahmen eines offenen, transparenten und nicht diskriminierenden Verfahrens festgesetzt wurden.</w:t>
      </w:r>
    </w:p>
    <w:p>
      <w:r>
        <w:t xml:space="preserve">(2) Die Vorschriften dieses Gesetzes gelten nicht für Unternehmen,</w:t>
      </w:r>
    </w:p>
    <w:p>
      <w:pPr>
        <w:ind w:left="420"/>
      </w:pPr>
      <w:r>
        <w:t xml:space="preserve">1. die neben den Tätigkeiten im Sinne des Absatzes 1 keine weiteren Geschäftstätigkeiten ausüben,</w:t>
      </w:r>
    </w:p>
    <w:p>
      <w:pPr>
        <w:ind w:left="420"/>
      </w:pPr>
      <w:r>
        <w:t xml:space="preserve">2. deren Tätigkeit nach Art und Umfang nicht geeignet ist, den Handel zwischen den Mitgliedstaaten der Europäischen Union merklich zu beeinträchtigen, oder</w:t>
      </w:r>
    </w:p>
    <w:p>
      <w:pPr>
        <w:ind w:left="420"/>
      </w:pPr>
      <w:r>
        <w:t xml:space="preserve">3. die in den letzten beiden abgeschlossenen Geschäftsjahren Umsatzerlöse von jeweils weniger als 40 Millionen Euro erzielt haben. Für die Ermittlung der Umsatzerlöse gilt § 277 Abs. 1 des Handelsgesetzbuchs. Bei Kreditinstituten tritt an die Stelle des Merkmals der Umsatzerlöse eine Bilanzsumme von 800 Millionen Euro.</w:t>
      </w:r>
    </w:p>
    <w:p>
      <w:r>
        <w:rPr>
          <w:color w:val="555555"/>
          <w:sz w:val="17"/>
        </w:rPr>
        <w:t xml:space="preserve">Zitiervorschlag: § 1 TranspRLG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