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TranspRLDV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verordnet</w:t>
      </w:r>
    </w:p>
    <w:p>
      <w:pPr>
        <w:ind w:left="420"/>
      </w:pPr>
      <w:r>
        <w:t xml:space="preserve">– auf Grund des § 22 Abs. 5, des § 23 Abs. 6 Nr. 2, des § 29a Abs. 4, des § 30f Abs. 3 und des § 37z Abs. 4 Satz 4 des Wertpapierhandelsgesetzes, von denen § 22 Abs. 5 durch Artikel 1 Nr. 11 Buchstabe e, § 23 Abs. 6 Nr. 2 durch Artikel 1 Nr. 12, § 29a Abs. 4 durch Artikel 1 Nr. 17, § 30f Abs. 3 durch Artikel 1 Nr. 19 und § 37z Abs. 4 Satz 4 durch Artikel 1 Nr. 24 des Gesetzes vom 5. Januar 2007 (BGBl. I S. 10) eingefügt worden ist,</w:t>
      </w:r>
    </w:p>
    <w:p>
      <w:pPr>
        <w:ind w:left="420"/>
      </w:pPr>
      <w:r>
        <w:t xml:space="preserve">– auf Grund des § 37w Abs. 6 Nr. 1 des Wertpapierhandelsgesetzes, der durch Artikel 1 Nr. 24 des Gesetzes vom 5. Januar 2007 (BGBl. I S. 10) eingefügt worden ist, im Einvernehmen mit dem Bundesministerium der Justiz,</w:t>
      </w:r>
    </w:p>
    <w:p>
      <w:pPr>
        <w:ind w:left="420"/>
      </w:pPr>
      <w:r>
        <w:t xml:space="preserve">– auf Grund des § 30 Abs. 4 des Wertpapiererwerbs- und Übernahmegesetzes, der durch Artikel 10 Nr. 2 Buchstabe b des Gesetzes vom 5. Januar 2007 (BGBl. I S. 10) eingefügt worden ist, sowie</w:t>
      </w:r>
    </w:p>
    <w:p>
      <w:pPr>
        <w:ind w:left="420"/>
      </w:pPr>
      <w:r>
        <w:t xml:space="preserve">– auf Grund des § 32 Abs. 5 Nr. 1 und 2 des Investmentgesetzes, der durch Artikel 7 Nr. 3 Buchstabe b des Gesetzes vom 5. Januar 2007 (BGBl. I S. 10) eingefügt worden ist:</w:t>
      </w:r>
    </w:p>
    <w:p>
      <w:r>
        <w:rPr>
          <w:color w:val="555555"/>
          <w:sz w:val="17"/>
        </w:rPr>
        <w:t xml:space="preserve">Zitiervorschlag: Eingangsformel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