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TranspRLDV — Gleichwertigkeit der Anforderungen an die Ausnahmen von der Zurechnung von Stimmrechten im Sinne des § 34 Absatz 4 des Wertpapierhandelsgesetzes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Regeln eines Drittstaates gelten als gleichwertig im Sinne des § 35 Absatz 4 des Wertpapierhandelsgesetzes zu den jeweiligen Anforderungen des § 35 Absatz 2 und 3 des Wertpapierhandelsgesetzes, wenn seine Rechtsvorschriften vorschreiben, dass ein Unternehmen im Sinne des § 35 Absatz 2 oder Absatz 3 des Wertpapierhandelsgesetzes</w:t>
      </w:r>
    </w:p>
    <w:p>
      <w:pPr>
        <w:ind w:left="420"/>
      </w:pPr>
      <w:r>
        <w:t xml:space="preserve">1. die Stimmrechte aus von ihm verwalteten Vermögenswerten in jedem Fall frei und unabhängig vom Mutterunternehmen oder einem anderen Tochterunternehmen des Mutterunternehmens ausübt und</w:t>
      </w:r>
    </w:p>
    <w:p>
      <w:pPr>
        <w:ind w:left="420"/>
      </w:pPr>
      <w:r>
        <w:t xml:space="preserve">2. bei Interessenkonflikten die Interessen des Mutterunternehmens oder eines anderen Tochterunternehmens des Mutterunternehmens nicht beachten muss.</w:t>
      </w:r>
    </w:p>
    <w:p>
      <w:r>
        <w:t xml:space="preserve">(2) § 35 Absatz 4 des Wertpapierhandelsgesetzes gilt nur, wenn das Mutterunternehmen der Bundesanstalt gegenüber eine Mitteilung im Sinne des § 35 Absatz 2 Nummer 3 oder Absatz 3 Nummer 3 des Wertpapierhandelsgesetzes abgibt und erklärt, dass die Voraussetzungen des Absatzes 1 in Bezug auf alle betroffenen Unternehmen erfüllt sind. § 3 Absatz 2 bis 4 gilt entsprechend.</w:t>
      </w:r>
    </w:p>
    <w:p>
      <w:r>
        <w:rPr>
          <w:color w:val="555555"/>
          <w:sz w:val="17"/>
        </w:rPr>
        <w:t xml:space="preserve">Zitiervorschlag: § 8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