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TranspRLDV — Gleichwertigkeit der Anforderungen an die Veröffentlichungspflichten des Emittenten in Bezug auf eigene Aktien</w:t>
      </w:r>
    </w:p>
    <w:p>
      <w:r>
        <w:rPr>
          <w:color w:val="555555"/>
          <w:sz w:val="18"/>
        </w:rPr>
        <w:t xml:space="preserve">Transparenzrichtlinie-Durchführungsverordnung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Regeln eines Drittstaates gelten als gleichwertig im Sinne des § 46 Absatz 1 des Wertpapierhandelsgesetzes zu den Anforderungen des § 40 Absatz 1 Satz 2 des Wertpapierhandelsgesetzes, wenn seine Rechtsvorschriften in Bezug auf eigene Aktien vorschreiben, dass, soweit ein Emittent, der seinen Sitz in diesem Drittstaat hat,</w:t>
      </w:r>
    </w:p>
    <w:p>
      <w:pPr>
        <w:ind w:left="420"/>
      </w:pPr>
      <w:r>
        <w:t xml:space="preserve">1. höchstens 5 Prozent seiner eigenen mit Stimmrechten verbundenen Aktien halten darf, er das Erreichen oder Überschreiten dieser Schwelle mitzuteilen hat,</w:t>
      </w:r>
    </w:p>
    <w:p>
      <w:pPr>
        <w:ind w:left="420"/>
      </w:pPr>
      <w:r>
        <w:t xml:space="preserve">2. höchstens 5 bis 10 Prozent seiner eigenen mit Stimmrechten verbundenen Aktien halten darf, er das Erreichen oder Überschreiten der Schwelle von 5 Prozent oder der jeweiligen Höchstschwelle des Drittstaates mitzuteilen hat, oder</w:t>
      </w:r>
    </w:p>
    <w:p>
      <w:pPr>
        <w:ind w:left="420"/>
      </w:pPr>
      <w:r>
        <w:t xml:space="preserve">3. mehr als 10 Prozent seiner eigenen mit Stimmrechten verbundenen Aktien halten darf, er das Erreichen oder Überschreiten der Schwellen von 5 und 10 Prozent mitzuteilen hat.</w:t>
      </w:r>
    </w:p>
    <w:p>
      <w:r>
        <w:rPr>
          <w:color w:val="555555"/>
          <w:sz w:val="17"/>
        </w:rPr>
        <w:t xml:space="preserve">Zitiervorschlag: § 6 TranspRLDV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https://recht.nulegal.eu/gesetze/TranspRLDV/6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